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1C7E" w14:textId="77777777" w:rsidR="003D10FF" w:rsidRPr="00625F28" w:rsidRDefault="007F4D07" w:rsidP="002E0D3C">
      <w:pPr>
        <w:pStyle w:val="Default"/>
        <w:framePr w:wrap="around" w:vAnchor="page" w:hAnchor="page" w:x="846" w:y="901"/>
        <w:rPr>
          <w:rFonts w:ascii="Trebuchet MS" w:hAnsi="Trebuchet MS" w:cs="Arial"/>
          <w:sz w:val="28"/>
          <w:szCs w:val="28"/>
        </w:rPr>
      </w:pPr>
      <w:r w:rsidRPr="00625F28">
        <w:rPr>
          <w:rFonts w:ascii="Trebuchet MS" w:hAnsi="Trebuchet MS" w:cs="Arial"/>
          <w:noProof/>
          <w:sz w:val="28"/>
          <w:szCs w:val="28"/>
        </w:rPr>
        <w:drawing>
          <wp:inline distT="0" distB="0" distL="0" distR="0" wp14:anchorId="59469E27" wp14:editId="759CFCCA">
            <wp:extent cx="2334577" cy="7099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obatLogoMaroon&amp;Black"/>
                    <pic:cNvPicPr>
                      <a:picLocks noChangeAspect="1" noChangeArrowheads="1"/>
                    </pic:cNvPicPr>
                  </pic:nvPicPr>
                  <pic:blipFill>
                    <a:blip r:embed="rId8"/>
                    <a:stretch>
                      <a:fillRect/>
                    </a:stretch>
                  </pic:blipFill>
                  <pic:spPr bwMode="auto">
                    <a:xfrm>
                      <a:off x="0" y="0"/>
                      <a:ext cx="2334577" cy="709930"/>
                    </a:xfrm>
                    <a:prstGeom prst="rect">
                      <a:avLst/>
                    </a:prstGeom>
                    <a:noFill/>
                    <a:ln>
                      <a:noFill/>
                    </a:ln>
                  </pic:spPr>
                </pic:pic>
              </a:graphicData>
            </a:graphic>
          </wp:inline>
        </w:drawing>
      </w:r>
    </w:p>
    <w:p w14:paraId="7DE0951D" w14:textId="3ECBA4DB" w:rsidR="001E0E6E" w:rsidRPr="00625F28" w:rsidRDefault="001E0E6E" w:rsidP="40D7270A">
      <w:pPr>
        <w:pStyle w:val="Default"/>
        <w:jc w:val="right"/>
        <w:rPr>
          <w:rFonts w:ascii="Trebuchet MS" w:hAnsi="Trebuchet MS" w:cs="Arial"/>
          <w:sz w:val="28"/>
          <w:szCs w:val="28"/>
        </w:rPr>
      </w:pPr>
      <w:r w:rsidRPr="40D7270A">
        <w:rPr>
          <w:rFonts w:ascii="Trebuchet MS" w:hAnsi="Trebuchet MS"/>
        </w:rPr>
        <w:t xml:space="preserve"> </w:t>
      </w:r>
      <w:r w:rsidR="003D10FF" w:rsidRPr="40D7270A">
        <w:rPr>
          <w:rFonts w:ascii="Trebuchet MS" w:hAnsi="Trebuchet MS"/>
          <w:b/>
          <w:bCs/>
          <w:sz w:val="40"/>
          <w:szCs w:val="40"/>
        </w:rPr>
        <w:t xml:space="preserve"> </w:t>
      </w:r>
      <w:r w:rsidR="006D37BF" w:rsidRPr="40D7270A">
        <w:rPr>
          <w:rFonts w:ascii="Trebuchet MS" w:hAnsi="Trebuchet MS"/>
          <w:b/>
          <w:bCs/>
          <w:sz w:val="40"/>
          <w:szCs w:val="40"/>
        </w:rPr>
        <w:t xml:space="preserve"> </w:t>
      </w:r>
      <w:r w:rsidR="00097C06">
        <w:rPr>
          <w:rFonts w:ascii="Trebuchet MS" w:hAnsi="Trebuchet MS" w:cs="Arial"/>
          <w:b/>
          <w:bCs/>
          <w:sz w:val="28"/>
          <w:szCs w:val="28"/>
        </w:rPr>
        <w:t>The Service Companies</w:t>
      </w:r>
      <w:r w:rsidR="1B05B391" w:rsidRPr="40D7270A">
        <w:rPr>
          <w:rFonts w:ascii="Trebuchet MS" w:hAnsi="Trebuchet MS" w:cs="Arial"/>
          <w:b/>
          <w:bCs/>
          <w:sz w:val="28"/>
          <w:szCs w:val="28"/>
        </w:rPr>
        <w:t xml:space="preserve"> </w:t>
      </w:r>
    </w:p>
    <w:p w14:paraId="618CCDC6" w14:textId="147B4A6C" w:rsidR="001E0E6E" w:rsidRPr="00625F28" w:rsidRDefault="1B05B391" w:rsidP="003D10FF">
      <w:pPr>
        <w:pStyle w:val="Default"/>
        <w:jc w:val="right"/>
        <w:rPr>
          <w:rFonts w:ascii="Trebuchet MS" w:hAnsi="Trebuchet MS" w:cs="Arial"/>
          <w:sz w:val="28"/>
          <w:szCs w:val="28"/>
        </w:rPr>
      </w:pPr>
      <w:r w:rsidRPr="1C7D195A">
        <w:rPr>
          <w:rFonts w:ascii="Trebuchet MS" w:hAnsi="Trebuchet MS" w:cs="Arial"/>
          <w:b/>
          <w:bCs/>
          <w:sz w:val="28"/>
          <w:szCs w:val="28"/>
        </w:rPr>
        <w:t>Services Agreement</w:t>
      </w:r>
    </w:p>
    <w:p w14:paraId="07A83BDF" w14:textId="6FF839A0" w:rsidR="5141CE1A" w:rsidRDefault="5141CE1A" w:rsidP="1C7D195A">
      <w:pPr>
        <w:pStyle w:val="Default"/>
        <w:jc w:val="right"/>
        <w:rPr>
          <w:b/>
          <w:bCs/>
          <w:color w:val="000000" w:themeColor="text1"/>
        </w:rPr>
      </w:pPr>
      <w:r w:rsidRPr="1C7D195A">
        <w:rPr>
          <w:rFonts w:ascii="Trebuchet MS" w:hAnsi="Trebuchet MS" w:cs="Arial"/>
          <w:b/>
          <w:bCs/>
          <w:color w:val="000000" w:themeColor="text1"/>
          <w:sz w:val="28"/>
          <w:szCs w:val="28"/>
        </w:rPr>
        <w:t xml:space="preserve">Temporary Staffing </w:t>
      </w:r>
    </w:p>
    <w:p w14:paraId="1A7295B6" w14:textId="5B7A8BCC" w:rsidR="00420050" w:rsidRPr="00625F28" w:rsidRDefault="001E0E6E" w:rsidP="40D7270A">
      <w:pPr>
        <w:pStyle w:val="Default"/>
        <w:rPr>
          <w:rFonts w:ascii="Trebuchet MS" w:hAnsi="Trebuchet MS" w:cs="Arial"/>
          <w:sz w:val="21"/>
          <w:szCs w:val="21"/>
        </w:rPr>
      </w:pPr>
      <w:r w:rsidRPr="40D7270A">
        <w:rPr>
          <w:rFonts w:ascii="Trebuchet MS" w:hAnsi="Trebuchet MS" w:cs="Arial"/>
          <w:sz w:val="21"/>
          <w:szCs w:val="21"/>
        </w:rPr>
        <w:t xml:space="preserve"> </w:t>
      </w:r>
    </w:p>
    <w:p w14:paraId="38E63066" w14:textId="77777777" w:rsidR="001E0E6E" w:rsidRPr="00625F28" w:rsidRDefault="001E0E6E">
      <w:pPr>
        <w:pStyle w:val="Default"/>
        <w:rPr>
          <w:rFonts w:ascii="Trebuchet MS" w:hAnsi="Trebuchet MS" w:cs="Arial"/>
          <w:sz w:val="22"/>
          <w:szCs w:val="22"/>
        </w:rPr>
      </w:pPr>
      <w:r w:rsidRPr="00625F28">
        <w:rPr>
          <w:rFonts w:ascii="Trebuchet MS" w:hAnsi="Trebuchet MS" w:cs="Arial"/>
          <w:sz w:val="22"/>
          <w:szCs w:val="22"/>
        </w:rPr>
        <w:t xml:space="preserve"> </w:t>
      </w:r>
    </w:p>
    <w:p w14:paraId="35587C7D" w14:textId="1F395942" w:rsidR="7529A61B" w:rsidRDefault="7529A61B" w:rsidP="006C646E">
      <w:pPr>
        <w:rPr>
          <w:rFonts w:ascii="Trebuchet MS" w:hAnsi="Trebuchet MS" w:cs="Arial"/>
          <w:b/>
          <w:bCs/>
          <w:color w:val="000000" w:themeColor="text1"/>
        </w:rPr>
      </w:pPr>
      <w:r w:rsidRPr="1C7D195A">
        <w:rPr>
          <w:rFonts w:ascii="Trebuchet MS" w:hAnsi="Trebuchet MS" w:cs="Arial"/>
          <w:color w:val="000000" w:themeColor="text1"/>
        </w:rPr>
        <w:t xml:space="preserve">This agreement </w:t>
      </w:r>
      <w:r w:rsidR="44A2A1FD" w:rsidRPr="1C7D195A">
        <w:rPr>
          <w:rFonts w:ascii="Trebuchet MS" w:hAnsi="Trebuchet MS" w:cs="Arial"/>
          <w:color w:val="000000" w:themeColor="text1"/>
        </w:rPr>
        <w:t xml:space="preserve">( this “Agreement”) </w:t>
      </w:r>
      <w:r w:rsidRPr="1C7D195A">
        <w:rPr>
          <w:rFonts w:ascii="Trebuchet MS" w:hAnsi="Trebuchet MS" w:cs="Arial"/>
          <w:color w:val="000000" w:themeColor="text1"/>
        </w:rPr>
        <w:t xml:space="preserve">between </w:t>
      </w:r>
      <w:r w:rsidR="1AE87E5E" w:rsidRPr="1C7D195A">
        <w:rPr>
          <w:rFonts w:ascii="Trebuchet MS" w:hAnsi="Trebuchet MS" w:cs="Arial"/>
          <w:b/>
          <w:bCs/>
          <w:color w:val="000000" w:themeColor="text1"/>
        </w:rPr>
        <w:t>The Service Companies, Inc.,</w:t>
      </w:r>
      <w:r w:rsidR="28798389" w:rsidRPr="1C7D195A">
        <w:rPr>
          <w:rFonts w:ascii="Trebuchet MS" w:hAnsi="Trebuchet MS" w:cs="Arial"/>
          <w:b/>
          <w:bCs/>
          <w:color w:val="000000" w:themeColor="text1"/>
        </w:rPr>
        <w:t xml:space="preserve"> with its princip</w:t>
      </w:r>
      <w:r w:rsidR="00A0279F" w:rsidRPr="1C7D195A">
        <w:rPr>
          <w:rFonts w:ascii="Trebuchet MS" w:hAnsi="Trebuchet MS" w:cs="Arial"/>
          <w:b/>
          <w:bCs/>
          <w:color w:val="000000" w:themeColor="text1"/>
        </w:rPr>
        <w:t>al</w:t>
      </w:r>
      <w:r w:rsidR="28798389" w:rsidRPr="1C7D195A">
        <w:rPr>
          <w:rFonts w:ascii="Trebuchet MS" w:hAnsi="Trebuchet MS" w:cs="Arial"/>
          <w:b/>
          <w:bCs/>
          <w:color w:val="000000" w:themeColor="text1"/>
        </w:rPr>
        <w:t xml:space="preserve"> office located at 2900 Monarch Lakes Boulevard, Suite 202, Miramar, FL 33027</w:t>
      </w:r>
      <w:r w:rsidRPr="1C7D195A">
        <w:rPr>
          <w:rFonts w:ascii="Trebuchet MS" w:hAnsi="Trebuchet MS" w:cs="Arial"/>
          <w:b/>
          <w:bCs/>
          <w:color w:val="000000" w:themeColor="text1"/>
        </w:rPr>
        <w:t xml:space="preserve"> (“</w:t>
      </w:r>
      <w:r w:rsidR="763A4F91" w:rsidRPr="1C7D195A">
        <w:rPr>
          <w:rFonts w:ascii="Trebuchet MS" w:hAnsi="Trebuchet MS" w:cs="Arial"/>
          <w:b/>
          <w:bCs/>
          <w:color w:val="000000" w:themeColor="text1"/>
        </w:rPr>
        <w:t>TSC</w:t>
      </w:r>
      <w:r w:rsidRPr="1C7D195A">
        <w:rPr>
          <w:rFonts w:ascii="Trebuchet MS" w:hAnsi="Trebuchet MS" w:cs="Arial"/>
          <w:b/>
          <w:bCs/>
          <w:color w:val="000000" w:themeColor="text1"/>
        </w:rPr>
        <w:t xml:space="preserve">”), </w:t>
      </w:r>
      <w:r w:rsidR="56A5B3D0" w:rsidRPr="1C7D195A">
        <w:rPr>
          <w:rFonts w:ascii="Trebuchet MS" w:hAnsi="Trebuchet MS" w:cs="Arial"/>
          <w:color w:val="000000" w:themeColor="text1"/>
        </w:rPr>
        <w:t>and</w:t>
      </w:r>
      <w:r w:rsidR="006C646E">
        <w:rPr>
          <w:rFonts w:ascii="Trebuchet MS" w:hAnsi="Trebuchet MS" w:cs="Arial"/>
          <w:b/>
          <w:bCs/>
          <w:color w:val="000000" w:themeColor="text1"/>
        </w:rPr>
        <w:t xml:space="preserve"> Belmont Village Scottsdale</w:t>
      </w:r>
      <w:r w:rsidR="00EB52ED">
        <w:rPr>
          <w:rFonts w:ascii="Trebuchet MS" w:hAnsi="Trebuchet MS" w:cs="Arial"/>
          <w:b/>
          <w:bCs/>
          <w:color w:val="000000" w:themeColor="text1"/>
        </w:rPr>
        <w:t xml:space="preserve">, </w:t>
      </w:r>
      <w:r w:rsidR="00A0279F" w:rsidRPr="002F02FB">
        <w:rPr>
          <w:rFonts w:ascii="Trebuchet MS" w:hAnsi="Trebuchet MS" w:cs="Arial"/>
          <w:b/>
          <w:bCs/>
          <w:color w:val="000000" w:themeColor="text1"/>
        </w:rPr>
        <w:t>located at</w:t>
      </w:r>
      <w:r w:rsidR="002F02FB" w:rsidRPr="002F02FB">
        <w:rPr>
          <w:rFonts w:ascii="Trebuchet MS" w:hAnsi="Trebuchet MS" w:cs="Arial"/>
          <w:b/>
          <w:bCs/>
          <w:color w:val="000000" w:themeColor="text1"/>
        </w:rPr>
        <w:t xml:space="preserve"> </w:t>
      </w:r>
      <w:r w:rsidR="006C646E" w:rsidRPr="006C646E">
        <w:rPr>
          <w:rFonts w:ascii="Trebuchet MS" w:hAnsi="Trebuchet MS" w:cs="Arial"/>
          <w:b/>
          <w:bCs/>
          <w:color w:val="000000" w:themeColor="text1"/>
        </w:rPr>
        <w:t>13850 N Frank Lloyd Wright Blvd, Scottsdale, AZ 85260</w:t>
      </w:r>
      <w:r w:rsidRPr="1C7D195A">
        <w:rPr>
          <w:rFonts w:ascii="Trebuchet MS" w:hAnsi="Trebuchet MS" w:cs="Arial"/>
          <w:b/>
          <w:bCs/>
          <w:color w:val="000000" w:themeColor="text1"/>
        </w:rPr>
        <w:t>,</w:t>
      </w:r>
      <w:r w:rsidRPr="1C7D195A">
        <w:rPr>
          <w:rFonts w:ascii="Trebuchet MS" w:hAnsi="Trebuchet MS" w:cs="Arial"/>
          <w:color w:val="000000" w:themeColor="text1"/>
        </w:rPr>
        <w:t xml:space="preserve"> is made effective as of </w:t>
      </w:r>
      <w:r w:rsidR="00525ED5">
        <w:rPr>
          <w:rFonts w:ascii="Trebuchet MS" w:hAnsi="Trebuchet MS" w:cs="Arial"/>
          <w:color w:val="000000" w:themeColor="text1"/>
        </w:rPr>
        <w:t>February</w:t>
      </w:r>
      <w:r w:rsidR="002F02FB">
        <w:rPr>
          <w:rFonts w:ascii="Trebuchet MS" w:hAnsi="Trebuchet MS" w:cs="Arial"/>
          <w:color w:val="000000" w:themeColor="text1"/>
        </w:rPr>
        <w:t xml:space="preserve"> </w:t>
      </w:r>
      <w:r w:rsidR="007C0E4A">
        <w:rPr>
          <w:rFonts w:ascii="Trebuchet MS" w:hAnsi="Trebuchet MS" w:cs="Arial"/>
          <w:color w:val="000000" w:themeColor="text1"/>
        </w:rPr>
        <w:t>2</w:t>
      </w:r>
      <w:r w:rsidR="007A2701">
        <w:rPr>
          <w:rFonts w:ascii="Trebuchet MS" w:hAnsi="Trebuchet MS" w:cs="Arial"/>
          <w:color w:val="000000" w:themeColor="text1"/>
        </w:rPr>
        <w:t>6</w:t>
      </w:r>
      <w:r w:rsidR="002F02FB">
        <w:rPr>
          <w:rFonts w:ascii="Trebuchet MS" w:hAnsi="Trebuchet MS" w:cs="Arial"/>
          <w:color w:val="000000" w:themeColor="text1"/>
        </w:rPr>
        <w:t>, 2022</w:t>
      </w:r>
      <w:r w:rsidRPr="1C7D195A">
        <w:rPr>
          <w:rFonts w:ascii="Trebuchet MS" w:hAnsi="Trebuchet MS" w:cs="Arial"/>
          <w:color w:val="000000" w:themeColor="text1"/>
        </w:rPr>
        <w:t xml:space="preserve"> and will continue for a period of 1 year until </w:t>
      </w:r>
      <w:r w:rsidR="007C0E4A">
        <w:rPr>
          <w:rFonts w:ascii="Trebuchet MS" w:hAnsi="Trebuchet MS" w:cs="Arial"/>
          <w:color w:val="000000" w:themeColor="text1"/>
        </w:rPr>
        <w:t>February</w:t>
      </w:r>
      <w:r w:rsidR="002F02FB">
        <w:rPr>
          <w:rFonts w:ascii="Trebuchet MS" w:hAnsi="Trebuchet MS" w:cs="Arial"/>
          <w:color w:val="000000" w:themeColor="text1"/>
        </w:rPr>
        <w:t xml:space="preserve"> </w:t>
      </w:r>
      <w:r w:rsidR="00290DB0">
        <w:rPr>
          <w:rFonts w:ascii="Trebuchet MS" w:hAnsi="Trebuchet MS" w:cs="Arial"/>
          <w:color w:val="000000" w:themeColor="text1"/>
        </w:rPr>
        <w:t>2</w:t>
      </w:r>
      <w:r w:rsidR="007A2701">
        <w:rPr>
          <w:rFonts w:ascii="Trebuchet MS" w:hAnsi="Trebuchet MS" w:cs="Arial"/>
          <w:color w:val="000000" w:themeColor="text1"/>
        </w:rPr>
        <w:t>5</w:t>
      </w:r>
      <w:r w:rsidR="3C386E8E" w:rsidRPr="1C7D195A">
        <w:rPr>
          <w:rFonts w:ascii="Trebuchet MS" w:hAnsi="Trebuchet MS" w:cs="Arial"/>
          <w:color w:val="000000" w:themeColor="text1"/>
        </w:rPr>
        <w:t>, 202</w:t>
      </w:r>
      <w:r w:rsidR="002F02FB">
        <w:rPr>
          <w:rFonts w:ascii="Trebuchet MS" w:hAnsi="Trebuchet MS" w:cs="Arial"/>
          <w:color w:val="000000" w:themeColor="text1"/>
        </w:rPr>
        <w:t>3</w:t>
      </w:r>
      <w:r w:rsidRPr="1C7D195A">
        <w:rPr>
          <w:rFonts w:ascii="Trebuchet MS" w:hAnsi="Trebuchet MS" w:cs="Arial"/>
          <w:color w:val="000000" w:themeColor="text1"/>
        </w:rPr>
        <w:t xml:space="preserve">. This </w:t>
      </w:r>
      <w:r w:rsidR="00A0279F" w:rsidRPr="1C7D195A">
        <w:rPr>
          <w:rFonts w:ascii="Trebuchet MS" w:hAnsi="Trebuchet MS" w:cs="Arial"/>
          <w:color w:val="000000" w:themeColor="text1"/>
        </w:rPr>
        <w:t>A</w:t>
      </w:r>
      <w:r w:rsidR="1497C95B" w:rsidRPr="1C7D195A">
        <w:rPr>
          <w:rFonts w:ascii="Trebuchet MS" w:hAnsi="Trebuchet MS" w:cs="Arial"/>
          <w:color w:val="000000" w:themeColor="text1"/>
        </w:rPr>
        <w:t xml:space="preserve">greement </w:t>
      </w:r>
      <w:r w:rsidRPr="1C7D195A">
        <w:rPr>
          <w:rFonts w:ascii="Trebuchet MS" w:hAnsi="Trebuchet MS" w:cs="Arial"/>
          <w:color w:val="000000" w:themeColor="text1"/>
        </w:rPr>
        <w:t>wi</w:t>
      </w:r>
      <w:r w:rsidR="009D6E83" w:rsidRPr="1C7D195A">
        <w:rPr>
          <w:rFonts w:ascii="Trebuchet MS" w:hAnsi="Trebuchet MS" w:cs="Arial"/>
          <w:color w:val="000000" w:themeColor="text1"/>
        </w:rPr>
        <w:t>ll</w:t>
      </w:r>
      <w:r w:rsidRPr="1C7D195A">
        <w:rPr>
          <w:rFonts w:ascii="Trebuchet MS" w:hAnsi="Trebuchet MS" w:cs="Arial"/>
          <w:color w:val="000000" w:themeColor="text1"/>
        </w:rPr>
        <w:t xml:space="preserve"> automatically renew after 1 year, </w:t>
      </w:r>
      <w:r w:rsidR="7BDAE5A4" w:rsidRPr="1C7D195A">
        <w:rPr>
          <w:rFonts w:ascii="Trebuchet MS" w:hAnsi="Trebuchet MS" w:cs="Arial"/>
          <w:color w:val="000000" w:themeColor="text1"/>
        </w:rPr>
        <w:t xml:space="preserve">for subsequent 1-year renewal terms, if no notice to the contrary is given by either party. </w:t>
      </w:r>
    </w:p>
    <w:p w14:paraId="54EA32A0" w14:textId="031885BB" w:rsidR="6407E2E5" w:rsidRDefault="6407E2E5" w:rsidP="40D7270A">
      <w:pPr>
        <w:rPr>
          <w:rFonts w:ascii="Trebuchet MS" w:hAnsi="Trebuchet MS" w:cs="Arial"/>
          <w:color w:val="000000" w:themeColor="text1"/>
        </w:rPr>
      </w:pPr>
      <w:r w:rsidRPr="40D7270A">
        <w:rPr>
          <w:rFonts w:ascii="Trebuchet MS" w:hAnsi="Trebuchet MS" w:cs="Arial"/>
          <w:b/>
          <w:bCs/>
          <w:color w:val="000000" w:themeColor="text1"/>
        </w:rPr>
        <w:t xml:space="preserve">Staffing Services: </w:t>
      </w:r>
      <w:r w:rsidRPr="40D7270A">
        <w:rPr>
          <w:rFonts w:ascii="Trebuchet MS" w:hAnsi="Trebuchet MS" w:cs="Arial"/>
          <w:color w:val="000000" w:themeColor="text1"/>
        </w:rPr>
        <w:t xml:space="preserve">TSC will assign certain of its employees (“TSC employees”) with the skills CLIENT requests, to do CLIENT’s work under CLIENT’s operational supervision. </w:t>
      </w:r>
    </w:p>
    <w:p w14:paraId="0D940467" w14:textId="44D22979" w:rsidR="00E62B66" w:rsidRPr="00625F28" w:rsidRDefault="00E62B66" w:rsidP="3A8C694C">
      <w:pPr>
        <w:jc w:val="both"/>
        <w:rPr>
          <w:rFonts w:ascii="Trebuchet MS" w:hAnsi="Trebuchet MS" w:cs="Arial"/>
        </w:rPr>
      </w:pPr>
      <w:r w:rsidRPr="40D7270A">
        <w:rPr>
          <w:rFonts w:ascii="Trebuchet MS" w:hAnsi="Trebuchet MS" w:cs="Arial"/>
          <w:b/>
          <w:bCs/>
        </w:rPr>
        <w:t xml:space="preserve">Bill Rates: </w:t>
      </w:r>
      <w:r w:rsidR="5766EC42" w:rsidRPr="40D7270A">
        <w:rPr>
          <w:rFonts w:ascii="Trebuchet MS" w:hAnsi="Trebuchet MS" w:cs="Arial"/>
        </w:rPr>
        <w:t xml:space="preserve">TSC’s </w:t>
      </w:r>
      <w:r w:rsidRPr="40D7270A">
        <w:rPr>
          <w:rFonts w:ascii="Trebuchet MS" w:hAnsi="Trebuchet MS" w:cs="Arial"/>
        </w:rPr>
        <w:t xml:space="preserve">bill rates include the employee's hourly wage, and all deductions required by </w:t>
      </w:r>
      <w:r w:rsidR="00A0279F">
        <w:rPr>
          <w:rFonts w:ascii="Trebuchet MS" w:hAnsi="Trebuchet MS" w:cs="Arial"/>
        </w:rPr>
        <w:t>federal, state and local law</w:t>
      </w:r>
      <w:r w:rsidRPr="40D7270A">
        <w:rPr>
          <w:rFonts w:ascii="Trebuchet MS" w:hAnsi="Trebuchet MS" w:cs="Arial"/>
        </w:rPr>
        <w:t xml:space="preserve"> -- including employer's contribution for FICA taxes, providing Unemployment and Worker's Compensation, liability insurance and fidelity bonding, health care and commuter ordinances as well as other deductions and benefits paid to our employees. Additionally, all administrative charges are covered, including preparation of W-2 forms at the end of the year. </w:t>
      </w:r>
    </w:p>
    <w:tbl>
      <w:tblPr>
        <w:tblW w:w="7412" w:type="dxa"/>
        <w:tblInd w:w="1563" w:type="dxa"/>
        <w:tblCellMar>
          <w:left w:w="0" w:type="dxa"/>
          <w:right w:w="0" w:type="dxa"/>
        </w:tblCellMar>
        <w:tblLook w:val="04A0" w:firstRow="1" w:lastRow="0" w:firstColumn="1" w:lastColumn="0" w:noHBand="0" w:noVBand="1"/>
      </w:tblPr>
      <w:tblGrid>
        <w:gridCol w:w="3000"/>
        <w:gridCol w:w="4412"/>
      </w:tblGrid>
      <w:tr w:rsidR="00EC2B92" w:rsidRPr="00625F28" w14:paraId="7D78417F" w14:textId="77777777" w:rsidTr="1C7D195A">
        <w:trPr>
          <w:trHeight w:val="127"/>
        </w:trPr>
        <w:tc>
          <w:tcPr>
            <w:tcW w:w="3000"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0279AB94" w14:textId="77777777"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Position</w:t>
            </w:r>
          </w:p>
        </w:tc>
        <w:tc>
          <w:tcPr>
            <w:tcW w:w="4412"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10B7FD2C" w14:textId="77777777"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Bill Rate</w:t>
            </w:r>
          </w:p>
        </w:tc>
      </w:tr>
      <w:tr w:rsidR="00EC2B92" w:rsidRPr="00625F28" w14:paraId="65055A1E" w14:textId="77777777" w:rsidTr="1C7D195A">
        <w:trPr>
          <w:trHeight w:val="647"/>
        </w:trPr>
        <w:tc>
          <w:tcPr>
            <w:tcW w:w="30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4ECE5F1" w14:textId="77777777" w:rsidR="00221680" w:rsidRDefault="00BF0813" w:rsidP="00BF0813">
            <w:pPr>
              <w:spacing w:line="240" w:lineRule="auto"/>
              <w:jc w:val="center"/>
              <w:rPr>
                <w:rFonts w:ascii="Trebuchet MS" w:eastAsia="Calibri" w:hAnsi="Trebuchet MS" w:cs="Arial"/>
                <w:b/>
                <w:bCs/>
                <w:sz w:val="18"/>
                <w:szCs w:val="18"/>
              </w:rPr>
            </w:pPr>
            <w:r>
              <w:rPr>
                <w:rFonts w:ascii="Trebuchet MS" w:eastAsia="Calibri" w:hAnsi="Trebuchet MS" w:cs="Arial"/>
                <w:b/>
                <w:bCs/>
                <w:sz w:val="18"/>
                <w:szCs w:val="18"/>
              </w:rPr>
              <w:t>Dishwasher</w:t>
            </w:r>
          </w:p>
          <w:p w14:paraId="4949A382" w14:textId="77777777" w:rsidR="00555096" w:rsidRDefault="00555096" w:rsidP="00BF0813">
            <w:pPr>
              <w:spacing w:line="240" w:lineRule="auto"/>
              <w:jc w:val="center"/>
              <w:rPr>
                <w:rFonts w:ascii="Trebuchet MS" w:eastAsia="Calibri" w:hAnsi="Trebuchet MS" w:cs="Arial"/>
                <w:b/>
                <w:bCs/>
                <w:sz w:val="18"/>
                <w:szCs w:val="18"/>
              </w:rPr>
            </w:pPr>
            <w:r>
              <w:rPr>
                <w:rFonts w:ascii="Trebuchet MS" w:eastAsia="Calibri" w:hAnsi="Trebuchet MS" w:cs="Arial"/>
                <w:b/>
                <w:bCs/>
                <w:sz w:val="18"/>
                <w:szCs w:val="18"/>
              </w:rPr>
              <w:t>Server</w:t>
            </w:r>
          </w:p>
          <w:p w14:paraId="6399423E" w14:textId="3F45E62E" w:rsidR="00555096" w:rsidRPr="00962DD6" w:rsidRDefault="00555096" w:rsidP="00BF0813">
            <w:pPr>
              <w:spacing w:line="240" w:lineRule="auto"/>
              <w:jc w:val="center"/>
              <w:rPr>
                <w:rFonts w:ascii="Trebuchet MS" w:eastAsia="Calibri" w:hAnsi="Trebuchet MS" w:cs="Arial"/>
                <w:b/>
                <w:bCs/>
                <w:sz w:val="18"/>
                <w:szCs w:val="18"/>
              </w:rPr>
            </w:pPr>
            <w:r>
              <w:rPr>
                <w:rFonts w:ascii="Trebuchet MS" w:eastAsia="Calibri" w:hAnsi="Trebuchet MS" w:cs="Arial"/>
                <w:b/>
                <w:bCs/>
                <w:sz w:val="18"/>
                <w:szCs w:val="18"/>
              </w:rPr>
              <w:t>Prep Cook</w:t>
            </w:r>
          </w:p>
        </w:tc>
        <w:tc>
          <w:tcPr>
            <w:tcW w:w="4412" w:type="dxa"/>
            <w:tcBorders>
              <w:top w:val="nil"/>
              <w:left w:val="nil"/>
              <w:bottom w:val="single" w:sz="4" w:space="0" w:color="auto"/>
              <w:right w:val="single" w:sz="8" w:space="0" w:color="auto"/>
            </w:tcBorders>
            <w:tcMar>
              <w:top w:w="0" w:type="dxa"/>
              <w:left w:w="108" w:type="dxa"/>
              <w:bottom w:w="0" w:type="dxa"/>
              <w:right w:w="108" w:type="dxa"/>
            </w:tcMar>
          </w:tcPr>
          <w:p w14:paraId="432BA3A5" w14:textId="77777777" w:rsidR="009755FE" w:rsidRDefault="00C15293" w:rsidP="00A86A12">
            <w:pPr>
              <w:spacing w:line="240" w:lineRule="auto"/>
              <w:jc w:val="center"/>
              <w:rPr>
                <w:rFonts w:ascii="Trebuchet MS" w:eastAsia="Calibri" w:hAnsi="Trebuchet MS" w:cs="Arial"/>
                <w:b/>
                <w:bCs/>
                <w:sz w:val="18"/>
                <w:szCs w:val="18"/>
              </w:rPr>
            </w:pPr>
            <w:r w:rsidRPr="00962DD6">
              <w:rPr>
                <w:rFonts w:ascii="Trebuchet MS" w:eastAsia="Calibri" w:hAnsi="Trebuchet MS" w:cs="Arial"/>
                <w:b/>
                <w:bCs/>
                <w:sz w:val="18"/>
                <w:szCs w:val="18"/>
              </w:rPr>
              <w:t>$3</w:t>
            </w:r>
            <w:r w:rsidR="00A86A12">
              <w:rPr>
                <w:rFonts w:ascii="Trebuchet MS" w:eastAsia="Calibri" w:hAnsi="Trebuchet MS" w:cs="Arial"/>
                <w:b/>
                <w:bCs/>
                <w:sz w:val="18"/>
                <w:szCs w:val="18"/>
              </w:rPr>
              <w:t>0</w:t>
            </w:r>
            <w:r w:rsidRPr="00962DD6">
              <w:rPr>
                <w:rFonts w:ascii="Trebuchet MS" w:eastAsia="Calibri" w:hAnsi="Trebuchet MS" w:cs="Arial"/>
                <w:b/>
                <w:bCs/>
                <w:sz w:val="18"/>
                <w:szCs w:val="18"/>
              </w:rPr>
              <w:t>.</w:t>
            </w:r>
            <w:r w:rsidR="00555096">
              <w:rPr>
                <w:rFonts w:ascii="Trebuchet MS" w:eastAsia="Calibri" w:hAnsi="Trebuchet MS" w:cs="Arial"/>
                <w:b/>
                <w:bCs/>
                <w:sz w:val="18"/>
                <w:szCs w:val="18"/>
              </w:rPr>
              <w:t>53</w:t>
            </w:r>
            <w:r w:rsidRPr="00962DD6">
              <w:rPr>
                <w:rFonts w:ascii="Trebuchet MS" w:eastAsia="Calibri" w:hAnsi="Trebuchet MS" w:cs="Arial"/>
                <w:b/>
                <w:bCs/>
                <w:sz w:val="18"/>
                <w:szCs w:val="18"/>
              </w:rPr>
              <w:t>/hr</w:t>
            </w:r>
            <w:r w:rsidR="00130915" w:rsidRPr="00962DD6">
              <w:rPr>
                <w:rFonts w:ascii="Trebuchet MS" w:eastAsia="Calibri" w:hAnsi="Trebuchet MS" w:cs="Arial"/>
                <w:b/>
                <w:bCs/>
                <w:sz w:val="18"/>
                <w:szCs w:val="18"/>
              </w:rPr>
              <w:t xml:space="preserve"> </w:t>
            </w:r>
          </w:p>
          <w:p w14:paraId="7C5226B5" w14:textId="77777777" w:rsidR="00555096" w:rsidRDefault="00555096" w:rsidP="00A86A12">
            <w:pPr>
              <w:spacing w:line="240" w:lineRule="auto"/>
              <w:jc w:val="center"/>
              <w:rPr>
                <w:rFonts w:ascii="Trebuchet MS" w:eastAsia="Calibri" w:hAnsi="Trebuchet MS" w:cs="Arial"/>
                <w:b/>
                <w:bCs/>
                <w:sz w:val="18"/>
                <w:szCs w:val="18"/>
              </w:rPr>
            </w:pPr>
            <w:r>
              <w:rPr>
                <w:rFonts w:ascii="Trebuchet MS" w:eastAsia="Calibri" w:hAnsi="Trebuchet MS" w:cs="Arial"/>
                <w:b/>
                <w:bCs/>
                <w:sz w:val="18"/>
                <w:szCs w:val="18"/>
              </w:rPr>
              <w:t>$</w:t>
            </w:r>
            <w:r w:rsidR="00285437">
              <w:rPr>
                <w:rFonts w:ascii="Trebuchet MS" w:eastAsia="Calibri" w:hAnsi="Trebuchet MS" w:cs="Arial"/>
                <w:b/>
                <w:bCs/>
                <w:sz w:val="18"/>
                <w:szCs w:val="18"/>
              </w:rPr>
              <w:t>33.00/hr</w:t>
            </w:r>
          </w:p>
          <w:p w14:paraId="052484C0" w14:textId="20D95A84" w:rsidR="00285437" w:rsidRPr="00962DD6" w:rsidRDefault="00285437" w:rsidP="00A86A12">
            <w:pPr>
              <w:spacing w:line="240" w:lineRule="auto"/>
              <w:jc w:val="center"/>
              <w:rPr>
                <w:rFonts w:ascii="Trebuchet MS" w:eastAsia="Calibri" w:hAnsi="Trebuchet MS" w:cs="Arial"/>
                <w:b/>
                <w:bCs/>
                <w:sz w:val="18"/>
                <w:szCs w:val="18"/>
              </w:rPr>
            </w:pPr>
            <w:r>
              <w:rPr>
                <w:rFonts w:ascii="Trebuchet MS" w:eastAsia="Calibri" w:hAnsi="Trebuchet MS" w:cs="Arial"/>
                <w:b/>
                <w:bCs/>
                <w:sz w:val="18"/>
                <w:szCs w:val="18"/>
              </w:rPr>
              <w:t>$</w:t>
            </w:r>
            <w:r w:rsidR="00CC0AFF">
              <w:rPr>
                <w:rFonts w:ascii="Trebuchet MS" w:eastAsia="Calibri" w:hAnsi="Trebuchet MS" w:cs="Arial"/>
                <w:b/>
                <w:bCs/>
                <w:sz w:val="18"/>
                <w:szCs w:val="18"/>
              </w:rPr>
              <w:t>33.00/hr</w:t>
            </w:r>
          </w:p>
        </w:tc>
      </w:tr>
      <w:tr w:rsidR="00D73F34" w:rsidRPr="00625F28" w14:paraId="79389245" w14:textId="77777777" w:rsidTr="1C7D195A">
        <w:trPr>
          <w:trHeight w:val="647"/>
        </w:trPr>
        <w:tc>
          <w:tcPr>
            <w:tcW w:w="74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1CB9" w14:textId="3CD3FDE0" w:rsidR="00D73F34" w:rsidRPr="00625F28" w:rsidRDefault="0C0C0DF3" w:rsidP="40D7270A">
            <w:pPr>
              <w:spacing w:after="0"/>
              <w:jc w:val="center"/>
              <w:rPr>
                <w:rFonts w:ascii="Trebuchet MS" w:hAnsi="Trebuchet MS"/>
                <w:b/>
                <w:bCs/>
                <w:i/>
                <w:iCs/>
                <w:sz w:val="20"/>
                <w:szCs w:val="20"/>
              </w:rPr>
            </w:pPr>
            <w:r w:rsidRPr="40D7270A">
              <w:rPr>
                <w:rFonts w:ascii="Trebuchet MS" w:hAnsi="Trebuchet MS"/>
                <w:b/>
                <w:bCs/>
                <w:i/>
                <w:iCs/>
                <w:sz w:val="20"/>
                <w:szCs w:val="20"/>
              </w:rPr>
              <w:t>*</w:t>
            </w:r>
            <w:r w:rsidR="0EFFF051" w:rsidRPr="40D7270A">
              <w:rPr>
                <w:rFonts w:ascii="Trebuchet MS" w:hAnsi="Trebuchet MS"/>
                <w:b/>
                <w:bCs/>
                <w:i/>
                <w:iCs/>
                <w:sz w:val="20"/>
                <w:szCs w:val="20"/>
              </w:rPr>
              <w:t>TSC</w:t>
            </w:r>
            <w:r w:rsidRPr="40D7270A">
              <w:rPr>
                <w:rFonts w:ascii="Trebuchet MS" w:hAnsi="Trebuchet MS"/>
                <w:b/>
                <w:bCs/>
                <w:i/>
                <w:iCs/>
                <w:sz w:val="20"/>
                <w:szCs w:val="20"/>
              </w:rPr>
              <w:t xml:space="preserve"> observes the following Holidays:</w:t>
            </w:r>
          </w:p>
          <w:p w14:paraId="218A2776" w14:textId="674AF32D"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New Year’s Day</w:t>
            </w:r>
            <w:r w:rsidR="785353F9" w:rsidRPr="00625F28">
              <w:rPr>
                <w:rFonts w:ascii="Trebuchet MS" w:hAnsi="Trebuchet MS"/>
                <w:sz w:val="20"/>
                <w:szCs w:val="20"/>
              </w:rPr>
              <w:t xml:space="preserve">  </w:t>
            </w:r>
            <w:r w:rsidRPr="00625F28">
              <w:rPr>
                <w:rFonts w:ascii="Trebuchet MS" w:hAnsi="Trebuchet MS"/>
                <w:sz w:val="20"/>
                <w:szCs w:val="20"/>
              </w:rPr>
              <w:tab/>
            </w:r>
            <w:r w:rsidRPr="00625F28">
              <w:rPr>
                <w:rFonts w:ascii="Trebuchet MS" w:hAnsi="Trebuchet MS"/>
                <w:sz w:val="20"/>
                <w:szCs w:val="20"/>
              </w:rPr>
              <w:tab/>
            </w:r>
            <w:r w:rsidRPr="00625F28">
              <w:rPr>
                <w:rFonts w:ascii="Trebuchet MS" w:hAnsi="Trebuchet MS"/>
                <w:sz w:val="20"/>
                <w:szCs w:val="20"/>
              </w:rPr>
              <w:tab/>
              <w:t>Labor Day</w:t>
            </w:r>
          </w:p>
          <w:p w14:paraId="0267CA08" w14:textId="50181E40"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Easter Sunday</w:t>
            </w:r>
            <w:r w:rsidR="35D2F222" w:rsidRPr="00625F28">
              <w:rPr>
                <w:rFonts w:ascii="Trebuchet MS" w:hAnsi="Trebuchet MS"/>
                <w:sz w:val="20"/>
                <w:szCs w:val="20"/>
              </w:rPr>
              <w:t xml:space="preserve">   </w:t>
            </w:r>
            <w:r w:rsidR="00625F28" w:rsidRPr="00625F28">
              <w:rPr>
                <w:rFonts w:ascii="Trebuchet MS" w:hAnsi="Trebuchet MS"/>
                <w:sz w:val="20"/>
                <w:szCs w:val="20"/>
              </w:rPr>
              <w:tab/>
            </w:r>
            <w:r w:rsidR="00625F28" w:rsidRPr="00625F28">
              <w:rPr>
                <w:rFonts w:ascii="Trebuchet MS" w:hAnsi="Trebuchet MS"/>
                <w:sz w:val="20"/>
                <w:szCs w:val="20"/>
              </w:rPr>
              <w:tab/>
            </w:r>
            <w:r w:rsidR="00625F28" w:rsidRPr="00625F28">
              <w:rPr>
                <w:rFonts w:ascii="Trebuchet MS" w:hAnsi="Trebuchet MS"/>
                <w:sz w:val="20"/>
                <w:szCs w:val="20"/>
              </w:rPr>
              <w:tab/>
            </w:r>
            <w:r w:rsidRPr="00625F28">
              <w:rPr>
                <w:rFonts w:ascii="Trebuchet MS" w:hAnsi="Trebuchet MS"/>
                <w:sz w:val="20"/>
                <w:szCs w:val="20"/>
              </w:rPr>
              <w:t>Thanksgiving Day</w:t>
            </w:r>
          </w:p>
          <w:p w14:paraId="62BE4A07" w14:textId="47B037B6"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Memorial Day</w:t>
            </w:r>
            <w:r w:rsidR="3F256FF1" w:rsidRPr="00625F28">
              <w:rPr>
                <w:rFonts w:ascii="Trebuchet MS" w:hAnsi="Trebuchet MS"/>
                <w:sz w:val="20"/>
                <w:szCs w:val="20"/>
              </w:rPr>
              <w:t xml:space="preserve">   </w:t>
            </w:r>
            <w:r w:rsidRPr="00625F28">
              <w:rPr>
                <w:rFonts w:ascii="Trebuchet MS" w:hAnsi="Trebuchet MS"/>
                <w:sz w:val="20"/>
                <w:szCs w:val="20"/>
              </w:rPr>
              <w:tab/>
            </w:r>
            <w:r w:rsidRPr="00625F28">
              <w:rPr>
                <w:rFonts w:ascii="Trebuchet MS" w:hAnsi="Trebuchet MS"/>
                <w:sz w:val="20"/>
                <w:szCs w:val="20"/>
              </w:rPr>
              <w:tab/>
            </w:r>
            <w:r w:rsidRPr="00625F28">
              <w:rPr>
                <w:rFonts w:ascii="Trebuchet MS" w:hAnsi="Trebuchet MS"/>
                <w:sz w:val="20"/>
                <w:szCs w:val="20"/>
              </w:rPr>
              <w:tab/>
              <w:t>Christmas Day</w:t>
            </w:r>
          </w:p>
          <w:p w14:paraId="08BAEE84" w14:textId="5B194BA1" w:rsidR="00D73F34" w:rsidRPr="00625F28" w:rsidRDefault="00D73F34" w:rsidP="3A8C694C">
            <w:pPr>
              <w:spacing w:after="0"/>
              <w:jc w:val="center"/>
              <w:rPr>
                <w:rFonts w:ascii="Trebuchet MS" w:hAnsi="Trebuchet MS"/>
                <w:b/>
                <w:bCs/>
                <w:i/>
                <w:iCs/>
                <w:sz w:val="20"/>
                <w:szCs w:val="20"/>
              </w:rPr>
            </w:pPr>
            <w:r w:rsidRPr="3A8C694C">
              <w:rPr>
                <w:rFonts w:ascii="Trebuchet MS" w:hAnsi="Trebuchet MS"/>
                <w:sz w:val="20"/>
                <w:szCs w:val="20"/>
              </w:rPr>
              <w:t>Independence Day</w:t>
            </w:r>
          </w:p>
          <w:p w14:paraId="3DD6EC6B" w14:textId="036B5087" w:rsidR="00D73F34" w:rsidRPr="00625F28" w:rsidRDefault="00D73F34" w:rsidP="3A8C694C">
            <w:pPr>
              <w:spacing w:after="0"/>
              <w:rPr>
                <w:rFonts w:ascii="Trebuchet MS" w:hAnsi="Trebuchet MS"/>
                <w:b/>
                <w:bCs/>
                <w:i/>
                <w:iCs/>
                <w:sz w:val="20"/>
                <w:szCs w:val="20"/>
              </w:rPr>
            </w:pPr>
            <w:r w:rsidRPr="3A8C694C">
              <w:rPr>
                <w:rFonts w:ascii="Trebuchet MS" w:hAnsi="Trebuchet MS"/>
                <w:b/>
                <w:bCs/>
                <w:i/>
                <w:iCs/>
                <w:sz w:val="20"/>
                <w:szCs w:val="20"/>
              </w:rPr>
              <w:t>On these dates your normal bill rate will increase 1.5X.</w:t>
            </w:r>
          </w:p>
        </w:tc>
      </w:tr>
    </w:tbl>
    <w:p w14:paraId="0A505343" w14:textId="77777777" w:rsidR="00EC2B92" w:rsidRPr="00625F28" w:rsidRDefault="00EC2B92" w:rsidP="00E62B66">
      <w:pPr>
        <w:jc w:val="both"/>
        <w:rPr>
          <w:rFonts w:ascii="Trebuchet MS" w:hAnsi="Trebuchet MS" w:cs="Arial"/>
        </w:rPr>
      </w:pPr>
    </w:p>
    <w:p w14:paraId="08BB6807" w14:textId="3E5861A4" w:rsidR="00D125B7" w:rsidRDefault="0EFFF051" w:rsidP="000F5E55">
      <w:pPr>
        <w:jc w:val="both"/>
        <w:rPr>
          <w:rFonts w:ascii="Trebuchet MS" w:hAnsi="Trebuchet MS" w:cs="Arial"/>
        </w:rPr>
      </w:pPr>
      <w:r w:rsidRPr="71C6B74B">
        <w:rPr>
          <w:rFonts w:ascii="Trebuchet MS" w:hAnsi="Trebuchet MS" w:cs="Arial"/>
        </w:rPr>
        <w:t>TSC</w:t>
      </w:r>
      <w:r w:rsidR="00E62B66" w:rsidRPr="71C6B74B">
        <w:rPr>
          <w:rFonts w:ascii="Trebuchet MS" w:hAnsi="Trebuchet MS" w:cs="Arial"/>
        </w:rPr>
        <w:t xml:space="preserve"> may, on occasion, increase the rates set forth </w:t>
      </w:r>
      <w:r w:rsidR="7E4B99D3" w:rsidRPr="71C6B74B">
        <w:rPr>
          <w:rFonts w:ascii="Trebuchet MS" w:hAnsi="Trebuchet MS" w:cs="Arial"/>
        </w:rPr>
        <w:t xml:space="preserve">above </w:t>
      </w:r>
      <w:r w:rsidR="00E62B66" w:rsidRPr="71C6B74B">
        <w:rPr>
          <w:rFonts w:ascii="Trebuchet MS" w:hAnsi="Trebuchet MS" w:cs="Arial"/>
        </w:rPr>
        <w:t>in proportion to any leg</w:t>
      </w:r>
      <w:r w:rsidR="6AEE203D" w:rsidRPr="71C6B74B">
        <w:rPr>
          <w:rFonts w:ascii="Trebuchet MS" w:hAnsi="Trebuchet MS" w:cs="Arial"/>
        </w:rPr>
        <w:t>al</w:t>
      </w:r>
      <w:r w:rsidR="00E62B66" w:rsidRPr="71C6B74B">
        <w:rPr>
          <w:rFonts w:ascii="Trebuchet MS" w:hAnsi="Trebuchet MS" w:cs="Arial"/>
        </w:rPr>
        <w:t>ly-mandated new or increased cost which may be required by federal, state, or local law commencing upon the effective date of such new or increased cost, such as FICA State Unemployment Tax</w:t>
      </w:r>
      <w:r w:rsidR="28A548E5" w:rsidRPr="71C6B74B">
        <w:rPr>
          <w:rFonts w:ascii="Trebuchet MS" w:hAnsi="Trebuchet MS" w:cs="Arial"/>
        </w:rPr>
        <w:t xml:space="preserve"> increase or </w:t>
      </w:r>
      <w:r w:rsidR="00E62B66" w:rsidRPr="71C6B74B">
        <w:rPr>
          <w:rFonts w:ascii="Trebuchet MS" w:hAnsi="Trebuchet MS" w:cs="Arial"/>
        </w:rPr>
        <w:t>any new or increased cost associated with the passage of a federal or state</w:t>
      </w:r>
      <w:r w:rsidR="28AA4EEE" w:rsidRPr="71C6B74B">
        <w:rPr>
          <w:rFonts w:ascii="Trebuchet MS" w:hAnsi="Trebuchet MS" w:cs="Arial"/>
        </w:rPr>
        <w:t xml:space="preserve"> or local</w:t>
      </w:r>
      <w:r w:rsidR="00E62B66" w:rsidRPr="71C6B74B">
        <w:rPr>
          <w:rFonts w:ascii="Trebuchet MS" w:hAnsi="Trebuchet MS" w:cs="Arial"/>
        </w:rPr>
        <w:t xml:space="preserve"> law mandating any benefits for employees. </w:t>
      </w:r>
      <w:r w:rsidR="00A0279F">
        <w:rPr>
          <w:rFonts w:ascii="Trebuchet MS" w:hAnsi="Trebuchet MS" w:cs="Arial"/>
        </w:rPr>
        <w:t>In any event, on occasion, r</w:t>
      </w:r>
      <w:r w:rsidR="00A0279F" w:rsidRPr="71C6B74B">
        <w:rPr>
          <w:rFonts w:ascii="Trebuchet MS" w:hAnsi="Trebuchet MS" w:cs="Arial"/>
        </w:rPr>
        <w:t xml:space="preserve">ates </w:t>
      </w:r>
      <w:r w:rsidR="463F923E" w:rsidRPr="71C6B74B">
        <w:rPr>
          <w:rFonts w:ascii="Trebuchet MS" w:hAnsi="Trebuchet MS" w:cs="Arial"/>
        </w:rPr>
        <w:t xml:space="preserve">may be prospectively changed by TSC upon notice to CLIENT. Any sales, use, value added, or similar taxes that apply to sales to CLIENT will be added to CLIENT’s invoices as a separate item. </w:t>
      </w:r>
      <w:r w:rsidR="57F4B527" w:rsidRPr="71C6B74B">
        <w:rPr>
          <w:rFonts w:ascii="Trebuchet MS" w:hAnsi="Trebuchet MS" w:cs="Arial"/>
        </w:rPr>
        <w:t>Paid sick time will be billed back to CLIENT at the straight-time bill rate for all hours taken by any TSC employee in any jurisdiction that has passed or will pass paid sick time legislation.</w:t>
      </w:r>
    </w:p>
    <w:p w14:paraId="24CC837F" w14:textId="6DBD0D7D" w:rsidR="000F5E55" w:rsidRPr="00625F28" w:rsidRDefault="000F5E55" w:rsidP="000F5E55">
      <w:pPr>
        <w:jc w:val="both"/>
        <w:rPr>
          <w:rFonts w:ascii="Trebuchet MS" w:hAnsi="Trebuchet MS" w:cs="Arial"/>
        </w:rPr>
      </w:pPr>
      <w:r w:rsidRPr="4579B848">
        <w:rPr>
          <w:rFonts w:ascii="Trebuchet MS" w:hAnsi="Trebuchet MS" w:cs="Arial"/>
          <w:b/>
          <w:bCs/>
        </w:rPr>
        <w:t xml:space="preserve">Affordable Care Act: </w:t>
      </w:r>
      <w:r w:rsidR="0EFFF051" w:rsidRPr="4579B848">
        <w:rPr>
          <w:rFonts w:ascii="Trebuchet MS" w:hAnsi="Trebuchet MS" w:cs="Arial"/>
        </w:rPr>
        <w:t>TSC</w:t>
      </w:r>
      <w:r w:rsidR="000E3B8E" w:rsidRPr="4579B848">
        <w:rPr>
          <w:rFonts w:ascii="Trebuchet MS" w:hAnsi="Trebuchet MS" w:cs="Arial"/>
        </w:rPr>
        <w:t xml:space="preserve"> </w:t>
      </w:r>
      <w:r w:rsidR="00C43A8D" w:rsidRPr="4579B848">
        <w:rPr>
          <w:rFonts w:ascii="Trebuchet MS" w:hAnsi="Trebuchet MS" w:cs="Arial"/>
        </w:rPr>
        <w:t>offers</w:t>
      </w:r>
      <w:r w:rsidRPr="4579B848">
        <w:rPr>
          <w:rFonts w:ascii="Trebuchet MS" w:hAnsi="Trebuchet MS" w:cs="Arial"/>
        </w:rPr>
        <w:t xml:space="preserve"> medical benefits to all </w:t>
      </w:r>
      <w:r w:rsidR="7169E322" w:rsidRPr="4579B848">
        <w:rPr>
          <w:rFonts w:ascii="Trebuchet MS" w:hAnsi="Trebuchet MS" w:cs="Arial"/>
        </w:rPr>
        <w:t xml:space="preserve">eligible </w:t>
      </w:r>
      <w:r w:rsidRPr="4579B848">
        <w:rPr>
          <w:rFonts w:ascii="Trebuchet MS" w:hAnsi="Trebuchet MS" w:cs="Arial"/>
        </w:rPr>
        <w:t xml:space="preserve">temporary employees in compliance with </w:t>
      </w:r>
      <w:r w:rsidR="46D9EF07" w:rsidRPr="4579B848">
        <w:rPr>
          <w:rFonts w:ascii="Trebuchet MS" w:hAnsi="Trebuchet MS" w:cs="Arial"/>
        </w:rPr>
        <w:t>the Patient</w:t>
      </w:r>
      <w:r w:rsidR="63C60661" w:rsidRPr="4579B848">
        <w:rPr>
          <w:rFonts w:ascii="Trebuchet MS" w:hAnsi="Trebuchet MS" w:cs="Arial"/>
        </w:rPr>
        <w:t xml:space="preserve"> Protection and </w:t>
      </w:r>
      <w:r w:rsidRPr="4579B848">
        <w:rPr>
          <w:rFonts w:ascii="Trebuchet MS" w:hAnsi="Trebuchet MS" w:cs="Arial"/>
        </w:rPr>
        <w:t>Affordable Care Act</w:t>
      </w:r>
      <w:r w:rsidR="5E10AC54" w:rsidRPr="4579B848">
        <w:rPr>
          <w:rFonts w:ascii="Trebuchet MS" w:hAnsi="Trebuchet MS" w:cs="Arial"/>
        </w:rPr>
        <w:t xml:space="preserve"> (“ACA”)</w:t>
      </w:r>
      <w:r w:rsidRPr="4579B848">
        <w:rPr>
          <w:rFonts w:ascii="Trebuchet MS" w:hAnsi="Trebuchet MS" w:cs="Arial"/>
        </w:rPr>
        <w:t>.  You will be assessed a minimal % ACA surcharge on every invoice.  This ra</w:t>
      </w:r>
      <w:r w:rsidR="002212A1" w:rsidRPr="4579B848">
        <w:rPr>
          <w:rFonts w:ascii="Trebuchet MS" w:hAnsi="Trebuchet MS" w:cs="Arial"/>
        </w:rPr>
        <w:t xml:space="preserve">te can vary and is currently </w:t>
      </w:r>
      <w:r w:rsidR="450A0930" w:rsidRPr="4579B848">
        <w:rPr>
          <w:rFonts w:ascii="Trebuchet MS" w:hAnsi="Trebuchet MS" w:cs="Arial"/>
        </w:rPr>
        <w:t>3</w:t>
      </w:r>
      <w:r w:rsidRPr="4579B848">
        <w:rPr>
          <w:rFonts w:ascii="Trebuchet MS" w:hAnsi="Trebuchet MS" w:cs="Arial"/>
        </w:rPr>
        <w:t>% of the invoice amount.</w:t>
      </w:r>
    </w:p>
    <w:p w14:paraId="54DD7408" w14:textId="7F3FDFDD" w:rsidR="00E62B66" w:rsidRPr="00625F28" w:rsidRDefault="00055FC9" w:rsidP="00E62B66">
      <w:pPr>
        <w:jc w:val="both"/>
        <w:rPr>
          <w:rFonts w:ascii="Trebuchet MS" w:hAnsi="Trebuchet MS" w:cs="Arial"/>
        </w:rPr>
      </w:pPr>
      <w:r w:rsidRPr="40D7270A">
        <w:rPr>
          <w:rFonts w:ascii="Trebuchet MS" w:hAnsi="Trebuchet MS" w:cs="Arial"/>
          <w:b/>
          <w:bCs/>
        </w:rPr>
        <w:t>Five</w:t>
      </w:r>
      <w:r w:rsidR="00E62B66" w:rsidRPr="40D7270A">
        <w:rPr>
          <w:rFonts w:ascii="Trebuchet MS" w:hAnsi="Trebuchet MS" w:cs="Arial"/>
          <w:b/>
          <w:bCs/>
        </w:rPr>
        <w:t xml:space="preserve">-hour Minimum: </w:t>
      </w:r>
      <w:r w:rsidR="48206783" w:rsidRPr="40D7270A">
        <w:rPr>
          <w:rFonts w:ascii="Trebuchet MS" w:hAnsi="Trebuchet MS" w:cs="Arial"/>
        </w:rPr>
        <w:t>TSC requires</w:t>
      </w:r>
      <w:r w:rsidR="00256078" w:rsidRPr="40D7270A">
        <w:rPr>
          <w:rFonts w:ascii="Trebuchet MS" w:hAnsi="Trebuchet MS" w:cs="Arial"/>
        </w:rPr>
        <w:t xml:space="preserve"> a five</w:t>
      </w:r>
      <w:r w:rsidR="00E62B66" w:rsidRPr="40D7270A">
        <w:rPr>
          <w:rFonts w:ascii="Trebuchet MS" w:hAnsi="Trebuchet MS" w:cs="Arial"/>
        </w:rPr>
        <w:t>-hour minimum workday. If an employee is sch</w:t>
      </w:r>
      <w:r w:rsidR="00256078" w:rsidRPr="40D7270A">
        <w:rPr>
          <w:rFonts w:ascii="Trebuchet MS" w:hAnsi="Trebuchet MS" w:cs="Arial"/>
        </w:rPr>
        <w:t>eduled to work a minimum of five</w:t>
      </w:r>
      <w:r w:rsidR="00E62B66" w:rsidRPr="40D7270A">
        <w:rPr>
          <w:rFonts w:ascii="Trebuchet MS" w:hAnsi="Trebuchet MS" w:cs="Arial"/>
        </w:rPr>
        <w:t xml:space="preserve"> hours in one day and the employe</w:t>
      </w:r>
      <w:r w:rsidR="00256078" w:rsidRPr="40D7270A">
        <w:rPr>
          <w:rFonts w:ascii="Trebuchet MS" w:hAnsi="Trebuchet MS" w:cs="Arial"/>
        </w:rPr>
        <w:t>e is sent home in less than five</w:t>
      </w:r>
      <w:r w:rsidR="00E62B66" w:rsidRPr="40D7270A">
        <w:rPr>
          <w:rFonts w:ascii="Trebuchet MS" w:hAnsi="Trebuchet MS" w:cs="Arial"/>
        </w:rPr>
        <w:t xml:space="preserve"> hours due to a lack of </w:t>
      </w:r>
      <w:r w:rsidR="00E62B66" w:rsidRPr="40D7270A">
        <w:rPr>
          <w:rFonts w:ascii="Trebuchet MS" w:hAnsi="Trebuchet MS" w:cs="Arial"/>
        </w:rPr>
        <w:lastRenderedPageBreak/>
        <w:t>work, th</w:t>
      </w:r>
      <w:r w:rsidR="00256078" w:rsidRPr="40D7270A">
        <w:rPr>
          <w:rFonts w:ascii="Trebuchet MS" w:hAnsi="Trebuchet MS" w:cs="Arial"/>
        </w:rPr>
        <w:t>e employee will be paid for five</w:t>
      </w:r>
      <w:r w:rsidR="00E62B66" w:rsidRPr="40D7270A">
        <w:rPr>
          <w:rFonts w:ascii="Trebuchet MS" w:hAnsi="Trebuchet MS" w:cs="Arial"/>
        </w:rPr>
        <w:t xml:space="preserve"> hours and </w:t>
      </w:r>
      <w:r w:rsidR="00256078" w:rsidRPr="40D7270A">
        <w:rPr>
          <w:rFonts w:ascii="Trebuchet MS" w:hAnsi="Trebuchet MS" w:cs="Arial"/>
        </w:rPr>
        <w:t>CLIENT will be billed for five</w:t>
      </w:r>
      <w:r w:rsidR="00E62B66" w:rsidRPr="40D7270A">
        <w:rPr>
          <w:rFonts w:ascii="Trebuchet MS" w:hAnsi="Trebuchet MS" w:cs="Arial"/>
        </w:rPr>
        <w:t xml:space="preserve"> hours.  </w:t>
      </w:r>
      <w:r w:rsidR="00E62B66" w:rsidRPr="40D7270A">
        <w:rPr>
          <w:rFonts w:ascii="Trebuchet MS" w:hAnsi="Trebuchet MS" w:cs="Arial"/>
          <w:b/>
          <w:bCs/>
        </w:rPr>
        <w:t>Show-up:</w:t>
      </w:r>
      <w:r w:rsidR="00E62B66" w:rsidRPr="40D7270A">
        <w:rPr>
          <w:rFonts w:ascii="Trebuchet MS" w:hAnsi="Trebuchet MS" w:cs="Arial"/>
        </w:rPr>
        <w:t xml:space="preserve"> In the event </w:t>
      </w:r>
      <w:r w:rsidR="7EAD13FC" w:rsidRPr="40D7270A">
        <w:rPr>
          <w:rFonts w:ascii="Trebuchet MS" w:hAnsi="Trebuchet MS" w:cs="Arial"/>
        </w:rPr>
        <w:t xml:space="preserve">CLIENT </w:t>
      </w:r>
      <w:r w:rsidR="00E62B66" w:rsidRPr="40D7270A">
        <w:rPr>
          <w:rFonts w:ascii="Trebuchet MS" w:hAnsi="Trebuchet MS" w:cs="Arial"/>
        </w:rPr>
        <w:t>cancel</w:t>
      </w:r>
      <w:r w:rsidR="4CA99887" w:rsidRPr="40D7270A">
        <w:rPr>
          <w:rFonts w:ascii="Trebuchet MS" w:hAnsi="Trebuchet MS" w:cs="Arial"/>
        </w:rPr>
        <w:t>s</w:t>
      </w:r>
      <w:r w:rsidR="00E62B66" w:rsidRPr="40D7270A">
        <w:rPr>
          <w:rFonts w:ascii="Trebuchet MS" w:hAnsi="Trebuchet MS" w:cs="Arial"/>
        </w:rPr>
        <w:t xml:space="preserve"> the employee's assignment and the employee is already on his/her way to wo</w:t>
      </w:r>
      <w:r w:rsidR="00256078" w:rsidRPr="40D7270A">
        <w:rPr>
          <w:rFonts w:ascii="Trebuchet MS" w:hAnsi="Trebuchet MS" w:cs="Arial"/>
        </w:rPr>
        <w:t>rk, or at the location, the five</w:t>
      </w:r>
      <w:r w:rsidR="00E62B66" w:rsidRPr="40D7270A">
        <w:rPr>
          <w:rFonts w:ascii="Trebuchet MS" w:hAnsi="Trebuchet MS" w:cs="Arial"/>
        </w:rPr>
        <w:t xml:space="preserve"> hour minimum will be applied, and </w:t>
      </w:r>
      <w:r w:rsidR="00256078" w:rsidRPr="40D7270A">
        <w:rPr>
          <w:rFonts w:ascii="Trebuchet MS" w:hAnsi="Trebuchet MS" w:cs="Arial"/>
        </w:rPr>
        <w:t>CLIENT will be billed for five</w:t>
      </w:r>
      <w:r w:rsidR="00E62B66" w:rsidRPr="40D7270A">
        <w:rPr>
          <w:rFonts w:ascii="Trebuchet MS" w:hAnsi="Trebuchet MS" w:cs="Arial"/>
        </w:rPr>
        <w:t xml:space="preserve"> hours. </w:t>
      </w:r>
    </w:p>
    <w:p w14:paraId="4EB92907" w14:textId="77777777" w:rsidR="00E62B66" w:rsidRPr="00625F28" w:rsidRDefault="00E62B66" w:rsidP="00E62B66">
      <w:pPr>
        <w:jc w:val="both"/>
        <w:rPr>
          <w:rFonts w:ascii="Trebuchet MS" w:hAnsi="Trebuchet MS" w:cs="Arial"/>
        </w:rPr>
      </w:pPr>
      <w:r w:rsidRPr="40D7270A">
        <w:rPr>
          <w:rFonts w:ascii="Trebuchet MS" w:hAnsi="Trebuchet MS" w:cs="Arial"/>
          <w:b/>
          <w:bCs/>
        </w:rPr>
        <w:t xml:space="preserve">Cancellation of Event:  </w:t>
      </w:r>
      <w:r w:rsidRPr="40D7270A">
        <w:rPr>
          <w:rFonts w:ascii="Trebuchet MS" w:hAnsi="Trebuchet MS" w:cs="Arial"/>
        </w:rPr>
        <w:t xml:space="preserve">There will be a 50% cancellation fee of estimated hours for the Event if cancelled within </w:t>
      </w:r>
      <w:r w:rsidR="005C7E08" w:rsidRPr="40D7270A">
        <w:rPr>
          <w:rFonts w:ascii="Trebuchet MS" w:hAnsi="Trebuchet MS" w:cs="Arial"/>
        </w:rPr>
        <w:t>36</w:t>
      </w:r>
      <w:r w:rsidRPr="40D7270A">
        <w:rPr>
          <w:rFonts w:ascii="Trebuchet MS" w:hAnsi="Trebuchet MS" w:cs="Arial"/>
        </w:rPr>
        <w:t xml:space="preserve"> </w:t>
      </w:r>
      <w:r w:rsidR="005C7E08" w:rsidRPr="40D7270A">
        <w:rPr>
          <w:rFonts w:ascii="Trebuchet MS" w:hAnsi="Trebuchet MS" w:cs="Arial"/>
        </w:rPr>
        <w:t>hours</w:t>
      </w:r>
      <w:r w:rsidRPr="40D7270A">
        <w:rPr>
          <w:rFonts w:ascii="Trebuchet MS" w:hAnsi="Trebuchet MS" w:cs="Arial"/>
        </w:rPr>
        <w:t xml:space="preserve"> of the scheduled start time.  The parties agree that the </w:t>
      </w:r>
      <w:r w:rsidR="005C7E08" w:rsidRPr="40D7270A">
        <w:rPr>
          <w:rFonts w:ascii="Trebuchet MS" w:hAnsi="Trebuchet MS" w:cs="Arial"/>
        </w:rPr>
        <w:t xml:space="preserve">minimum </w:t>
      </w:r>
      <w:r w:rsidR="00256078" w:rsidRPr="40D7270A">
        <w:rPr>
          <w:rFonts w:ascii="Trebuchet MS" w:hAnsi="Trebuchet MS" w:cs="Arial"/>
        </w:rPr>
        <w:t>hours for the Event are 5</w:t>
      </w:r>
      <w:r w:rsidRPr="40D7270A">
        <w:rPr>
          <w:rFonts w:ascii="Trebuchet MS" w:hAnsi="Trebuchet MS" w:cs="Arial"/>
        </w:rPr>
        <w:t xml:space="preserve">.  For Saturday, Sunday and Monday jobs all cancellations or order changes need to be received by Friday morning at 9 a.m. PST to avoid fees.  </w:t>
      </w:r>
    </w:p>
    <w:p w14:paraId="41F4F06A" w14:textId="2A13BB1A" w:rsidR="5B919532" w:rsidRDefault="5B919532" w:rsidP="40D7270A">
      <w:pPr>
        <w:jc w:val="both"/>
      </w:pPr>
      <w:r w:rsidRPr="40D7270A">
        <w:rPr>
          <w:rFonts w:ascii="Trebuchet MS" w:eastAsia="Trebuchet MS" w:hAnsi="Trebuchet MS" w:cs="Trebuchet MS"/>
          <w:b/>
          <w:bCs/>
        </w:rPr>
        <w:t xml:space="preserve">Overtime:  </w:t>
      </w:r>
      <w:r w:rsidRPr="40D7270A">
        <w:rPr>
          <w:rFonts w:ascii="Trebuchet MS" w:eastAsia="Trebuchet MS" w:hAnsi="Trebuchet MS" w:cs="Trebuchet MS"/>
        </w:rPr>
        <w:t>All overtime worked by TSC employees will be paid to employees as required by federal, state and local statutes. Principal agrees to pay Contractor overtime rates for the performance of overtime work to the extent that a TSC employee’s work on assignment to CLIENT, taken alone, would legally require premium overtime pay and CLIENT has scheduled, requested or approved the TSC employee to work those hours.  The rate for overtime hours will be the same multiple of the Straight Time bill rate as TSC is required to apply to the TSC employee’s pay rate.  For purposes of this Agreement, “Straight Time” is defined under the Fair Labor Standards Act.</w:t>
      </w:r>
    </w:p>
    <w:p w14:paraId="19653B1A" w14:textId="10F8529A" w:rsidR="00420050" w:rsidRDefault="00E62B66" w:rsidP="00625F28">
      <w:pPr>
        <w:pStyle w:val="PlainText"/>
        <w:jc w:val="both"/>
        <w:rPr>
          <w:rFonts w:ascii="Trebuchet MS" w:hAnsi="Trebuchet MS" w:cs="Arial"/>
          <w:sz w:val="22"/>
          <w:szCs w:val="22"/>
        </w:rPr>
      </w:pPr>
      <w:r w:rsidRPr="40D7270A">
        <w:rPr>
          <w:rFonts w:ascii="Trebuchet MS" w:hAnsi="Trebuchet MS" w:cs="Arial"/>
          <w:b/>
          <w:bCs/>
          <w:sz w:val="22"/>
          <w:szCs w:val="22"/>
        </w:rPr>
        <w:t>Guarantee</w:t>
      </w:r>
      <w:r w:rsidRPr="40D7270A">
        <w:rPr>
          <w:rFonts w:ascii="Trebuchet MS" w:hAnsi="Trebuchet MS" w:cs="Arial"/>
          <w:sz w:val="22"/>
          <w:szCs w:val="22"/>
        </w:rPr>
        <w:t xml:space="preserve">: </w:t>
      </w:r>
      <w:r w:rsidR="0EFFF051" w:rsidRPr="40D7270A">
        <w:rPr>
          <w:rFonts w:ascii="Trebuchet MS" w:hAnsi="Trebuchet MS" w:cs="Arial"/>
        </w:rPr>
        <w:t>TSC</w:t>
      </w:r>
      <w:r w:rsidRPr="40D7270A">
        <w:rPr>
          <w:rFonts w:ascii="Trebuchet MS" w:hAnsi="Trebuchet MS" w:cs="Arial"/>
          <w:sz w:val="22"/>
          <w:szCs w:val="22"/>
        </w:rPr>
        <w:t xml:space="preserve"> guarantees that the assigned employees that they recruit and assign to CLIENT will </w:t>
      </w:r>
      <w:r w:rsidR="569551B4" w:rsidRPr="40D7270A">
        <w:rPr>
          <w:rFonts w:ascii="Trebuchet MS" w:hAnsi="Trebuchet MS" w:cs="Arial"/>
          <w:sz w:val="22"/>
          <w:szCs w:val="22"/>
        </w:rPr>
        <w:t xml:space="preserve">reasonably meet </w:t>
      </w:r>
      <w:r w:rsidRPr="40D7270A">
        <w:rPr>
          <w:rFonts w:ascii="Trebuchet MS" w:hAnsi="Trebuchet MS" w:cs="Arial"/>
          <w:sz w:val="22"/>
          <w:szCs w:val="22"/>
        </w:rPr>
        <w:t xml:space="preserve">the qualifications CLIENT requests. If CLIENT finds any assigned employee’s qualifications or general work-related behavior lacking and </w:t>
      </w:r>
      <w:r w:rsidR="14C29FFE" w:rsidRPr="40D7270A">
        <w:rPr>
          <w:rFonts w:ascii="Trebuchet MS" w:hAnsi="Trebuchet MS" w:cs="Arial"/>
          <w:sz w:val="22"/>
          <w:szCs w:val="22"/>
        </w:rPr>
        <w:t>notifie</w:t>
      </w:r>
      <w:r w:rsidRPr="40D7270A">
        <w:rPr>
          <w:rFonts w:ascii="Trebuchet MS" w:hAnsi="Trebuchet MS" w:cs="Arial"/>
          <w:sz w:val="22"/>
          <w:szCs w:val="22"/>
        </w:rPr>
        <w:t xml:space="preserve">s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 xml:space="preserve">know within one (1) hour,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will not charge for the first two (2) hours of the assignment and will make reasonable efforts to replace the assigned employee immediately.</w:t>
      </w:r>
      <w:r w:rsidR="6E2F2A9B" w:rsidRPr="40D7270A">
        <w:rPr>
          <w:rFonts w:ascii="Trebuchet MS" w:hAnsi="Trebuchet MS" w:cs="Arial"/>
          <w:sz w:val="22"/>
          <w:szCs w:val="22"/>
        </w:rPr>
        <w:t xml:space="preserve"> This shall be CLIENT’s sole remedy with respect to CLIENT’s dissatisfaction with a TSC employee’s qualifications or performance. </w:t>
      </w:r>
    </w:p>
    <w:p w14:paraId="62E18610" w14:textId="77777777" w:rsidR="00625F28" w:rsidRPr="00625F28" w:rsidRDefault="00625F28" w:rsidP="00625F28">
      <w:pPr>
        <w:pStyle w:val="PlainText"/>
        <w:jc w:val="both"/>
        <w:rPr>
          <w:rFonts w:ascii="Trebuchet MS" w:hAnsi="Trebuchet MS" w:cs="Arial"/>
          <w:sz w:val="22"/>
          <w:szCs w:val="22"/>
        </w:rPr>
      </w:pPr>
    </w:p>
    <w:p w14:paraId="5B992272" w14:textId="32D8B28C" w:rsidR="003D10FF" w:rsidRPr="00625F28" w:rsidRDefault="003D10FF" w:rsidP="003D10FF">
      <w:pPr>
        <w:rPr>
          <w:rFonts w:ascii="Trebuchet MS" w:hAnsi="Trebuchet MS" w:cs="Arial"/>
        </w:rPr>
      </w:pPr>
      <w:r w:rsidRPr="00625F28">
        <w:rPr>
          <w:rFonts w:ascii="Trebuchet MS" w:hAnsi="Trebuchet MS" w:cs="Arial"/>
          <w:b/>
          <w:bCs/>
        </w:rPr>
        <w:t xml:space="preserve">Employee Timesheets:  </w:t>
      </w:r>
      <w:r w:rsidR="00E543B0">
        <w:rPr>
          <w:rFonts w:ascii="Trebuchet MS" w:hAnsi="Trebuchet MS"/>
          <w:color w:val="000000"/>
          <w:shd w:val="clear" w:color="auto" w:fill="FFFFFF"/>
        </w:rPr>
        <w:t>TSC will send CLIENT a timesheet and an electronic link to report employee hours with every job staffed, which will be provided to CLIENT by local staffing manager. These timesheets will have the names of the staff reporting to your event or business as well as a place to indicate time in, time out and break time. The timesheet requires the staff, as well as the client to input hours worked to ensure the validity of the recorded time by all parties. Each week, when jobs are finished, TSC will email CLIENT reminders to submit hours electronically. CLIENT electronic timesheets are due no later than Monday at 4:00 PM. If TSC does not receive CLIENT timesheets with hours worked by the time timesheets are due, TSC will pay employees as scheduled and bill CLIENT the same.</w:t>
      </w:r>
      <w:r w:rsidRPr="00625F28">
        <w:rPr>
          <w:rFonts w:ascii="Trebuchet MS" w:hAnsi="Trebuchet MS" w:cs="Arial"/>
          <w:color w:val="222222"/>
          <w:shd w:val="clear" w:color="auto" w:fill="FFFFFF"/>
        </w:rPr>
        <w:t xml:space="preserve">  </w:t>
      </w:r>
    </w:p>
    <w:p w14:paraId="1CCB4CA1" w14:textId="51F350CD" w:rsidR="00E62B66" w:rsidRPr="00625F28" w:rsidRDefault="00E62B66" w:rsidP="00E62B66">
      <w:pPr>
        <w:pStyle w:val="Default"/>
        <w:rPr>
          <w:rFonts w:ascii="Trebuchet MS" w:hAnsi="Trebuchet MS" w:cs="Arial"/>
          <w:color w:val="auto"/>
          <w:sz w:val="22"/>
          <w:szCs w:val="22"/>
        </w:rPr>
      </w:pPr>
      <w:r w:rsidRPr="00625F28">
        <w:rPr>
          <w:rFonts w:ascii="Trebuchet MS" w:hAnsi="Trebuchet MS" w:cs="Arial"/>
          <w:b/>
          <w:color w:val="auto"/>
          <w:sz w:val="22"/>
          <w:szCs w:val="22"/>
        </w:rPr>
        <w:t xml:space="preserve">Employee </w:t>
      </w:r>
      <w:r w:rsidRPr="00625F28">
        <w:rPr>
          <w:rFonts w:ascii="Trebuchet MS" w:hAnsi="Trebuchet MS" w:cs="Arial"/>
          <w:b/>
          <w:bCs/>
          <w:color w:val="auto"/>
          <w:sz w:val="22"/>
          <w:szCs w:val="22"/>
        </w:rPr>
        <w:t>Breaks</w:t>
      </w:r>
      <w:r w:rsidR="00A0279F">
        <w:rPr>
          <w:rFonts w:ascii="Trebuchet MS" w:hAnsi="Trebuchet MS" w:cs="Arial"/>
          <w:b/>
          <w:bCs/>
          <w:color w:val="auto"/>
          <w:sz w:val="22"/>
          <w:szCs w:val="22"/>
        </w:rPr>
        <w:t>; Safety</w:t>
      </w:r>
      <w:r w:rsidRPr="00625F28">
        <w:rPr>
          <w:rFonts w:ascii="Trebuchet MS" w:hAnsi="Trebuchet MS" w:cs="Arial"/>
          <w:b/>
          <w:bCs/>
          <w:color w:val="auto"/>
          <w:sz w:val="22"/>
          <w:szCs w:val="22"/>
        </w:rPr>
        <w:t xml:space="preserve">: </w:t>
      </w:r>
      <w:r w:rsidRPr="00625F28">
        <w:rPr>
          <w:rFonts w:ascii="Trebuchet MS" w:hAnsi="Trebuchet MS" w:cs="Arial"/>
          <w:color w:val="auto"/>
          <w:sz w:val="22"/>
          <w:szCs w:val="22"/>
        </w:rPr>
        <w:t>Per California labor laws an employee:</w:t>
      </w:r>
      <w:r w:rsidRPr="00625F28">
        <w:rPr>
          <w:rFonts w:ascii="Trebuchet MS" w:hAnsi="Trebuchet MS" w:cs="Arial"/>
          <w:b/>
          <w:bCs/>
          <w:color w:val="auto"/>
          <w:sz w:val="22"/>
          <w:szCs w:val="22"/>
        </w:rPr>
        <w:t xml:space="preserve"> </w:t>
      </w:r>
      <w:r w:rsidRPr="00625F28">
        <w:rPr>
          <w:rFonts w:ascii="Trebuchet MS" w:hAnsi="Trebuchet MS" w:cs="Arial"/>
          <w:color w:val="auto"/>
          <w:sz w:val="22"/>
          <w:szCs w:val="22"/>
        </w:rPr>
        <w:t>a. must receive a 10 minute break for every 4 hours that they work provided the shift is at least 5 hours;</w:t>
      </w:r>
      <w:r w:rsidRPr="00625F28">
        <w:rPr>
          <w:rFonts w:ascii="Trebuchet MS" w:hAnsi="Trebuchet MS" w:cs="Arial"/>
          <w:b/>
          <w:bCs/>
          <w:color w:val="auto"/>
          <w:sz w:val="22"/>
          <w:szCs w:val="22"/>
        </w:rPr>
        <w:t xml:space="preserve"> </w:t>
      </w:r>
    </w:p>
    <w:p w14:paraId="3FC52571" w14:textId="77777777" w:rsidR="00D125B7" w:rsidRDefault="00E62B66" w:rsidP="00AF22F9">
      <w:pPr>
        <w:pStyle w:val="Default"/>
        <w:rPr>
          <w:rFonts w:ascii="Trebuchet MS" w:eastAsia="Trebuchet MS" w:hAnsi="Trebuchet MS" w:cs="Trebuchet MS"/>
          <w:sz w:val="22"/>
          <w:szCs w:val="22"/>
        </w:rPr>
      </w:pPr>
      <w:r w:rsidRPr="71C6B74B">
        <w:rPr>
          <w:rFonts w:ascii="Trebuchet MS" w:hAnsi="Trebuchet MS" w:cs="Arial"/>
          <w:color w:val="auto"/>
          <w:sz w:val="22"/>
          <w:szCs w:val="22"/>
        </w:rPr>
        <w:t>b. must receive an uninterrupted 30 minute break after 5 hours, except when the workday will be completed in 6 hours or less and there is mutual employer/employee consent to waive the break period. If working more than 8 hours additional breaks must be provided</w:t>
      </w:r>
      <w:r w:rsidR="71D91E8F" w:rsidRPr="71C6B74B">
        <w:rPr>
          <w:rFonts w:ascii="Trebuchet MS" w:hAnsi="Trebuchet MS" w:cs="Arial"/>
          <w:color w:val="auto"/>
          <w:sz w:val="22"/>
          <w:szCs w:val="22"/>
        </w:rPr>
        <w:t xml:space="preserve">. </w:t>
      </w:r>
      <w:r w:rsidR="71D91E8F" w:rsidRPr="71C6B74B">
        <w:rPr>
          <w:rFonts w:ascii="Trebuchet MS" w:eastAsia="Trebuchet MS" w:hAnsi="Trebuchet MS" w:cs="Trebuchet MS"/>
          <w:sz w:val="22"/>
          <w:szCs w:val="22"/>
        </w:rPr>
        <w:t>CLIENT shall comply with applicable employee break laws with respect to TSC employees assigned to CLIENT.   CLIENT shall maintain a safe, healthy, and legal workplace for TSC employees in accordance with the OSHA, including all safety and site specific training (including exposure to hazardous substances), provide TSC employees with all required personal protective equipment, record on CLIENT’s OSHA Form 300, Log of Work-Related Injuries and Illnesses, any recordable injuries and illnesses of TSC employees and comply with all other OSHA recordkeeping responsibilities applicable to TSC employees, and notify TSC immediately of any OSHA inspection or request for informatio</w:t>
      </w:r>
      <w:r w:rsidR="00AF22F9">
        <w:rPr>
          <w:rFonts w:ascii="Trebuchet MS" w:eastAsia="Trebuchet MS" w:hAnsi="Trebuchet MS" w:cs="Trebuchet MS"/>
          <w:sz w:val="22"/>
          <w:szCs w:val="22"/>
        </w:rPr>
        <w:t>n</w:t>
      </w:r>
    </w:p>
    <w:p w14:paraId="6E53ED53" w14:textId="7128A815" w:rsidR="00E803CB" w:rsidRPr="00D125B7" w:rsidRDefault="00E803CB" w:rsidP="00AF22F9">
      <w:pPr>
        <w:pStyle w:val="Default"/>
        <w:rPr>
          <w:rFonts w:ascii="Trebuchet MS" w:eastAsia="Trebuchet MS" w:hAnsi="Trebuchet MS" w:cs="Trebuchet MS"/>
          <w:sz w:val="22"/>
          <w:szCs w:val="22"/>
        </w:rPr>
      </w:pPr>
      <w:r>
        <w:rPr>
          <w:rStyle w:val="xnormaltextrun"/>
          <w:rFonts w:ascii="Trebuchet MS" w:hAnsi="Trebuchet MS" w:cs="Segoe UI"/>
          <w:b/>
          <w:bCs/>
          <w:sz w:val="22"/>
          <w:szCs w:val="22"/>
          <w:bdr w:val="none" w:sz="0" w:space="0" w:color="auto" w:frame="1"/>
        </w:rPr>
        <w:t>Hiring an Employee of TSC: </w:t>
      </w:r>
      <w:r>
        <w:rPr>
          <w:rStyle w:val="xnormaltextrun"/>
          <w:rFonts w:ascii="Trebuchet MS" w:hAnsi="Trebuchet MS" w:cs="Segoe UI"/>
          <w:sz w:val="22"/>
          <w:szCs w:val="22"/>
          <w:bdr w:val="none" w:sz="0" w:space="0" w:color="auto" w:frame="1"/>
        </w:rPr>
        <w:t>Should CLIENT wish to hire a TSC employee as a permanent employee of CLIENT, conversion fees and/or hiring fees will apply. Hiring options include: </w:t>
      </w:r>
      <w:r>
        <w:rPr>
          <w:rStyle w:val="xeop"/>
          <w:rFonts w:ascii="Trebuchet MS" w:hAnsi="Trebuchet MS" w:cs="Segoe UI"/>
          <w:sz w:val="22"/>
          <w:szCs w:val="22"/>
          <w:bdr w:val="none" w:sz="0" w:space="0" w:color="auto" w:frame="1"/>
        </w:rPr>
        <w:t> </w:t>
      </w:r>
    </w:p>
    <w:p w14:paraId="21598934" w14:textId="77777777" w:rsidR="00E803CB" w:rsidRDefault="00E803CB" w:rsidP="00E803C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24C48A7B" w14:textId="0597886E"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t>1. If CLIENT maintains the employee as an employee of TSC for at least 180 days with a minimum of 1040 hours worked then CLIENT can hire the TSC employee with a Conversion fee of $0. CLIENT must notify TSC if CLIENT decides to hire an employee. </w:t>
      </w:r>
      <w:r>
        <w:rPr>
          <w:rStyle w:val="xeop"/>
          <w:rFonts w:ascii="Trebuchet MS" w:hAnsi="Trebuchet MS" w:cs="Segoe UI"/>
          <w:sz w:val="22"/>
          <w:szCs w:val="22"/>
          <w:bdr w:val="none" w:sz="0" w:space="0" w:color="auto" w:frame="1"/>
        </w:rPr>
        <w:t> </w:t>
      </w:r>
    </w:p>
    <w:p w14:paraId="7E478C95" w14:textId="77777777" w:rsidR="00E803CB" w:rsidRDefault="00E803CB" w:rsidP="00E803C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230157F1" w14:textId="02F14DEF"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lastRenderedPageBreak/>
        <w:t>2. CLIENT may hire any TSC employee that has worked less than 180 Days and 1040 hours after paying a Temporary-to-Hire Conversion fee to TSC for each such employee. The Temporary-to-Hire Conversion fee is $6,500.</w:t>
      </w:r>
    </w:p>
    <w:p w14:paraId="3F8633D9" w14:textId="68543D1B" w:rsidR="00E62B66" w:rsidRDefault="00E62B66" w:rsidP="71C6B74B">
      <w:pPr>
        <w:spacing w:before="4" w:after="0" w:line="239" w:lineRule="auto"/>
        <w:ind w:right="294"/>
        <w:rPr>
          <w:rFonts w:ascii="Trebuchet MS" w:hAnsi="Trebuchet MS" w:cs="Arial"/>
        </w:rPr>
      </w:pPr>
      <w:r w:rsidRPr="71C6B74B">
        <w:rPr>
          <w:rFonts w:ascii="Trebuchet MS" w:hAnsi="Trebuchet MS" w:cs="Arial"/>
          <w:b/>
          <w:bCs/>
        </w:rPr>
        <w:t>Payment Terms:</w:t>
      </w:r>
      <w:r w:rsidRPr="71C6B74B">
        <w:rPr>
          <w:rFonts w:ascii="Trebuchet MS" w:hAnsi="Trebuchet MS" w:cs="Arial"/>
        </w:rPr>
        <w:t xml:space="preserve"> </w:t>
      </w:r>
      <w:r w:rsidR="568019FD" w:rsidRPr="71C6B74B">
        <w:rPr>
          <w:rFonts w:ascii="Trebuchet MS" w:hAnsi="Trebuchet MS" w:cs="Arial"/>
        </w:rPr>
        <w:t>All invoices are due upon receipt of the invoice. CLIENT will pay invoices without any offset or deduction.</w:t>
      </w:r>
    </w:p>
    <w:p w14:paraId="2D7C8426" w14:textId="77777777" w:rsidR="00E62B66" w:rsidRPr="00625F28" w:rsidRDefault="00E62B66" w:rsidP="00E62B66">
      <w:pPr>
        <w:pStyle w:val="PlainText"/>
        <w:jc w:val="both"/>
        <w:rPr>
          <w:rFonts w:ascii="Trebuchet MS" w:hAnsi="Trebuchet MS" w:cs="Arial"/>
          <w:sz w:val="22"/>
          <w:szCs w:val="22"/>
        </w:rPr>
      </w:pPr>
    </w:p>
    <w:p w14:paraId="1CE67D19" w14:textId="3582B45D" w:rsidR="00E62B66" w:rsidRPr="00625F28" w:rsidRDefault="00BE6736" w:rsidP="00E62B66">
      <w:pPr>
        <w:pStyle w:val="PlainText"/>
        <w:jc w:val="both"/>
        <w:rPr>
          <w:rFonts w:ascii="Trebuchet MS" w:hAnsi="Trebuchet MS" w:cs="Arial"/>
          <w:sz w:val="22"/>
          <w:szCs w:val="22"/>
        </w:rPr>
      </w:pPr>
      <w:r w:rsidRPr="71C6B74B">
        <w:rPr>
          <w:rFonts w:ascii="Trebuchet MS" w:hAnsi="Trebuchet MS" w:cs="Arial"/>
          <w:b/>
          <w:bCs/>
          <w:sz w:val="22"/>
          <w:szCs w:val="22"/>
        </w:rPr>
        <w:t>Finance Charge</w:t>
      </w:r>
      <w:r w:rsidR="00E62B66" w:rsidRPr="71C6B74B">
        <w:rPr>
          <w:rFonts w:ascii="Trebuchet MS" w:hAnsi="Trebuchet MS" w:cs="Arial"/>
          <w:b/>
          <w:bCs/>
          <w:sz w:val="22"/>
          <w:szCs w:val="22"/>
        </w:rPr>
        <w:t xml:space="preserve">:  </w:t>
      </w:r>
      <w:r w:rsidR="00E62B66" w:rsidRPr="71C6B74B">
        <w:rPr>
          <w:rFonts w:ascii="Trebuchet MS" w:hAnsi="Trebuchet MS" w:cs="Arial"/>
          <w:sz w:val="22"/>
          <w:szCs w:val="22"/>
        </w:rPr>
        <w:t xml:space="preserve">CLIENT agrees to pay interest on any unpaid balances after </w:t>
      </w:r>
      <w:r w:rsidR="007A50C5" w:rsidRPr="71C6B74B">
        <w:rPr>
          <w:rFonts w:ascii="Trebuchet MS" w:hAnsi="Trebuchet MS" w:cs="Arial"/>
          <w:sz w:val="22"/>
          <w:szCs w:val="22"/>
        </w:rPr>
        <w:t>thirty</w:t>
      </w:r>
      <w:r w:rsidR="00E62B66" w:rsidRPr="71C6B74B">
        <w:rPr>
          <w:rFonts w:ascii="Trebuchet MS" w:hAnsi="Trebuchet MS" w:cs="Arial"/>
          <w:sz w:val="22"/>
          <w:szCs w:val="22"/>
        </w:rPr>
        <w:t xml:space="preserve"> (</w:t>
      </w:r>
      <w:r w:rsidR="007A50C5" w:rsidRPr="71C6B74B">
        <w:rPr>
          <w:rFonts w:ascii="Trebuchet MS" w:hAnsi="Trebuchet MS" w:cs="Arial"/>
          <w:sz w:val="22"/>
          <w:szCs w:val="22"/>
        </w:rPr>
        <w:t>30</w:t>
      </w:r>
      <w:r w:rsidR="00E62B66" w:rsidRPr="71C6B74B">
        <w:rPr>
          <w:rFonts w:ascii="Trebuchet MS" w:hAnsi="Trebuchet MS" w:cs="Arial"/>
          <w:sz w:val="22"/>
          <w:szCs w:val="22"/>
        </w:rPr>
        <w:t>) days from the date</w:t>
      </w:r>
      <w:r w:rsidR="00342BE4" w:rsidRPr="71C6B74B">
        <w:rPr>
          <w:rFonts w:ascii="Trebuchet MS" w:hAnsi="Trebuchet MS" w:cs="Arial"/>
          <w:sz w:val="22"/>
          <w:szCs w:val="22"/>
        </w:rPr>
        <w:t xml:space="preserve"> of the </w:t>
      </w:r>
      <w:r w:rsidR="00E62B66" w:rsidRPr="71C6B74B">
        <w:rPr>
          <w:rFonts w:ascii="Trebuchet MS" w:hAnsi="Trebuchet MS" w:cs="Arial"/>
          <w:sz w:val="22"/>
          <w:szCs w:val="22"/>
        </w:rPr>
        <w:t>invoice</w:t>
      </w:r>
      <w:r w:rsidR="00342BE4" w:rsidRPr="71C6B74B">
        <w:rPr>
          <w:rFonts w:ascii="Trebuchet MS" w:hAnsi="Trebuchet MS" w:cs="Arial"/>
          <w:sz w:val="22"/>
          <w:szCs w:val="22"/>
        </w:rPr>
        <w:t>,</w:t>
      </w:r>
      <w:r w:rsidR="00E62B66" w:rsidRPr="71C6B74B">
        <w:rPr>
          <w:rFonts w:ascii="Trebuchet MS" w:hAnsi="Trebuchet MS" w:cs="Arial"/>
          <w:sz w:val="22"/>
          <w:szCs w:val="22"/>
        </w:rPr>
        <w:t xml:space="preserve"> at the compounded rate of 1.5% per month (Annual Percentage Rate of 18%) or the maximum legal rate, whichever is lower, calculated from the date of the invoice.</w:t>
      </w:r>
      <w:r w:rsidR="3511F5FE" w:rsidRPr="71C6B74B">
        <w:rPr>
          <w:rFonts w:ascii="Trebuchet MS" w:hAnsi="Trebuchet MS" w:cs="Arial"/>
          <w:sz w:val="22"/>
          <w:szCs w:val="22"/>
        </w:rPr>
        <w:t xml:space="preserve"> CLIENT will pay TSC all of the reasonable expenses, costs and fees TSC incurs to collect overdue invoice payments from CLIENT. </w:t>
      </w:r>
    </w:p>
    <w:p w14:paraId="7A37934F" w14:textId="1FF73F8C" w:rsidR="71C6B74B" w:rsidRDefault="71C6B74B" w:rsidP="71C6B74B">
      <w:pPr>
        <w:pStyle w:val="PlainText"/>
        <w:jc w:val="both"/>
        <w:rPr>
          <w:rFonts w:ascii="Trebuchet MS" w:hAnsi="Trebuchet MS" w:cs="Arial"/>
          <w:sz w:val="22"/>
          <w:szCs w:val="22"/>
        </w:rPr>
      </w:pPr>
    </w:p>
    <w:p w14:paraId="756D5828" w14:textId="73910F06" w:rsidR="3511F5FE" w:rsidRDefault="3511F5FE" w:rsidP="71C6B74B">
      <w:pPr>
        <w:jc w:val="both"/>
      </w:pPr>
      <w:r w:rsidRPr="71C6B74B">
        <w:rPr>
          <w:rFonts w:ascii="Trebuchet MS" w:eastAsia="Trebuchet MS" w:hAnsi="Trebuchet MS" w:cs="Trebuchet MS"/>
        </w:rPr>
        <w:t>CLIENT will promptly notify TSC of any disputed item, and TSC will work with CLIENT to resolve such item.  If any portion of any invoice is disputed, CLIENT shall pay the undisputed portion as the parties attempt to resolve any disputed amounts.  Invoices that are undisputed by CLIENT for more than 30 days after the invoice date will be deemed correct.</w:t>
      </w:r>
    </w:p>
    <w:p w14:paraId="5159F302" w14:textId="77777777" w:rsidR="00E62B66" w:rsidRPr="00625F28" w:rsidRDefault="00E62B66" w:rsidP="00E62B66">
      <w:pPr>
        <w:pStyle w:val="PlainText"/>
        <w:jc w:val="both"/>
        <w:rPr>
          <w:rFonts w:ascii="Trebuchet MS" w:hAnsi="Trebuchet MS" w:cs="Arial"/>
          <w:b/>
          <w:bCs/>
          <w:sz w:val="22"/>
          <w:szCs w:val="22"/>
        </w:rPr>
      </w:pPr>
    </w:p>
    <w:p w14:paraId="02CC8625" w14:textId="10613073" w:rsidR="00E62B66" w:rsidRPr="00625F28" w:rsidRDefault="00E62B66" w:rsidP="0DE09E26">
      <w:pPr>
        <w:pStyle w:val="PlainText"/>
        <w:jc w:val="both"/>
        <w:rPr>
          <w:rFonts w:ascii="Trebuchet MS" w:hAnsi="Trebuchet MS" w:cs="Arial"/>
          <w:sz w:val="22"/>
          <w:szCs w:val="22"/>
        </w:rPr>
      </w:pPr>
      <w:r w:rsidRPr="71C6B74B">
        <w:rPr>
          <w:rFonts w:ascii="Trebuchet MS" w:hAnsi="Trebuchet MS" w:cs="Arial"/>
          <w:b/>
          <w:bCs/>
          <w:sz w:val="22"/>
          <w:szCs w:val="22"/>
        </w:rPr>
        <w:t xml:space="preserve">Term of Agreement: </w:t>
      </w:r>
      <w:r w:rsidRPr="71C6B74B">
        <w:rPr>
          <w:rFonts w:ascii="Trebuchet MS" w:hAnsi="Trebuchet MS" w:cs="Arial"/>
          <w:sz w:val="22"/>
          <w:szCs w:val="22"/>
        </w:rPr>
        <w:t>The Agreement may be terminated by either party upon 30 days written notice to the other party, except that, if a party becomes bankrupt or insolvent, discontinues operations, or fails to make any payments as required by th</w:t>
      </w:r>
      <w:r w:rsidR="024E4CEE" w:rsidRPr="71C6B74B">
        <w:rPr>
          <w:rFonts w:ascii="Trebuchet MS" w:hAnsi="Trebuchet MS" w:cs="Arial"/>
          <w:sz w:val="22"/>
          <w:szCs w:val="22"/>
        </w:rPr>
        <w:t>is</w:t>
      </w:r>
      <w:r w:rsidRPr="71C6B74B">
        <w:rPr>
          <w:rFonts w:ascii="Trebuchet MS" w:hAnsi="Trebuchet MS" w:cs="Arial"/>
          <w:sz w:val="22"/>
          <w:szCs w:val="22"/>
        </w:rPr>
        <w:t xml:space="preserve"> Agreement, either party may terminate th</w:t>
      </w:r>
      <w:r w:rsidR="3B6AF559" w:rsidRPr="71C6B74B">
        <w:rPr>
          <w:rFonts w:ascii="Trebuchet MS" w:hAnsi="Trebuchet MS" w:cs="Arial"/>
          <w:sz w:val="22"/>
          <w:szCs w:val="22"/>
        </w:rPr>
        <w:t>is A</w:t>
      </w:r>
      <w:r w:rsidRPr="71C6B74B">
        <w:rPr>
          <w:rFonts w:ascii="Trebuchet MS" w:hAnsi="Trebuchet MS" w:cs="Arial"/>
          <w:sz w:val="22"/>
          <w:szCs w:val="22"/>
        </w:rPr>
        <w:t xml:space="preserve">greement upon 24 hours written notice.  </w:t>
      </w:r>
      <w:r w:rsidR="0F197F47" w:rsidRPr="71C6B74B">
        <w:rPr>
          <w:rFonts w:ascii="Trebuchet MS" w:hAnsi="Trebuchet MS" w:cs="Arial"/>
          <w:sz w:val="22"/>
          <w:szCs w:val="22"/>
        </w:rPr>
        <w:t xml:space="preserve">Obligations incurred by the parties hereunder prior to </w:t>
      </w:r>
      <w:r w:rsidR="59E64F5F" w:rsidRPr="71C6B74B">
        <w:rPr>
          <w:rFonts w:ascii="Trebuchet MS" w:hAnsi="Trebuchet MS" w:cs="Arial"/>
          <w:sz w:val="22"/>
          <w:szCs w:val="22"/>
        </w:rPr>
        <w:t>termination</w:t>
      </w:r>
      <w:r w:rsidR="0F197F47" w:rsidRPr="71C6B74B">
        <w:rPr>
          <w:rFonts w:ascii="Trebuchet MS" w:hAnsi="Trebuchet MS" w:cs="Arial"/>
          <w:sz w:val="22"/>
          <w:szCs w:val="22"/>
        </w:rPr>
        <w:t xml:space="preserve"> of this Agreement shall survive such termination. </w:t>
      </w:r>
      <w:r w:rsidRPr="71C6B74B">
        <w:rPr>
          <w:rFonts w:ascii="Trebuchet MS" w:hAnsi="Trebuchet MS" w:cs="Arial"/>
          <w:sz w:val="22"/>
          <w:szCs w:val="22"/>
        </w:rPr>
        <w:t xml:space="preserve">No provision of this Agreement may be amended or waived unless agreed to in </w:t>
      </w:r>
      <w:r w:rsidR="2BF10406" w:rsidRPr="71C6B74B">
        <w:rPr>
          <w:rFonts w:ascii="Trebuchet MS" w:hAnsi="Trebuchet MS" w:cs="Arial"/>
          <w:sz w:val="22"/>
          <w:szCs w:val="22"/>
        </w:rPr>
        <w:t xml:space="preserve">a </w:t>
      </w:r>
      <w:r w:rsidRPr="71C6B74B">
        <w:rPr>
          <w:rFonts w:ascii="Trebuchet MS" w:hAnsi="Trebuchet MS" w:cs="Arial"/>
          <w:sz w:val="22"/>
          <w:szCs w:val="22"/>
        </w:rPr>
        <w:t>writing signed by the parties.</w:t>
      </w:r>
    </w:p>
    <w:p w14:paraId="48510DCA" w14:textId="519A1CB6" w:rsidR="44B63198" w:rsidRDefault="44B63198" w:rsidP="44B63198">
      <w:pPr>
        <w:pStyle w:val="PlainText"/>
        <w:jc w:val="both"/>
        <w:rPr>
          <w:rFonts w:ascii="Trebuchet MS" w:hAnsi="Trebuchet MS" w:cs="Arial"/>
          <w:sz w:val="22"/>
          <w:szCs w:val="22"/>
        </w:rPr>
      </w:pPr>
    </w:p>
    <w:p w14:paraId="29A3A590" w14:textId="32E987F0" w:rsidR="44B63198" w:rsidRDefault="44B63198" w:rsidP="44B63198">
      <w:pPr>
        <w:pStyle w:val="PlainText"/>
        <w:jc w:val="both"/>
        <w:rPr>
          <w:rFonts w:ascii="Trebuchet MS" w:hAnsi="Trebuchet MS" w:cs="Arial"/>
          <w:sz w:val="22"/>
          <w:szCs w:val="22"/>
        </w:rPr>
      </w:pPr>
    </w:p>
    <w:p w14:paraId="7B42FAED" w14:textId="77777777" w:rsidR="00E62B66" w:rsidRPr="00625F28" w:rsidRDefault="00E62B66" w:rsidP="00E62B66">
      <w:pPr>
        <w:pStyle w:val="PlainText"/>
        <w:jc w:val="both"/>
        <w:rPr>
          <w:rFonts w:ascii="Trebuchet MS" w:hAnsi="Trebuchet MS" w:cs="Arial"/>
          <w:b/>
          <w:bCs/>
          <w:sz w:val="22"/>
          <w:szCs w:val="22"/>
        </w:rPr>
      </w:pPr>
      <w:r w:rsidRPr="00625F28">
        <w:rPr>
          <w:rFonts w:ascii="Trebuchet MS" w:hAnsi="Trebuchet MS" w:cs="Arial"/>
          <w:b/>
          <w:bCs/>
          <w:sz w:val="22"/>
          <w:szCs w:val="22"/>
        </w:rPr>
        <w:t>Authorized representatives of the parties have executed this Agreement below to express the parties’ agreement to its terms.  The provisions of this Agreement will inure to the benefit of and be binding on the parties and their respective representatives, successors, and assigns.</w:t>
      </w:r>
    </w:p>
    <w:p w14:paraId="53A14CDC" w14:textId="77777777" w:rsidR="00E62B66" w:rsidRPr="00625F28" w:rsidRDefault="00E62B66" w:rsidP="00E62B66">
      <w:pPr>
        <w:pStyle w:val="PlainText"/>
        <w:jc w:val="both"/>
        <w:rPr>
          <w:rFonts w:ascii="Trebuchet MS" w:hAnsi="Trebuchet MS" w:cs="Arial"/>
          <w:b/>
          <w:bCs/>
          <w:sz w:val="22"/>
          <w:szCs w:val="22"/>
        </w:rPr>
      </w:pPr>
    </w:p>
    <w:p w14:paraId="6E0E80F1" w14:textId="77777777" w:rsidR="00E62B66" w:rsidRPr="00625F28" w:rsidRDefault="00E62B66" w:rsidP="00E62B66">
      <w:pPr>
        <w:pStyle w:val="PlainText"/>
        <w:jc w:val="both"/>
        <w:rPr>
          <w:rFonts w:ascii="Trebuchet MS" w:hAnsi="Trebuchet MS" w:cs="Arial"/>
          <w:b/>
          <w:bCs/>
          <w:sz w:val="22"/>
          <w:szCs w:val="22"/>
        </w:rPr>
      </w:pPr>
    </w:p>
    <w:tbl>
      <w:tblPr>
        <w:tblW w:w="9885" w:type="dxa"/>
        <w:jc w:val="center"/>
        <w:tblCellMar>
          <w:left w:w="0" w:type="dxa"/>
          <w:right w:w="0" w:type="dxa"/>
        </w:tblCellMar>
        <w:tblLook w:val="04A0" w:firstRow="1" w:lastRow="0" w:firstColumn="1" w:lastColumn="0" w:noHBand="0" w:noVBand="1"/>
      </w:tblPr>
      <w:tblGrid>
        <w:gridCol w:w="4724"/>
        <w:gridCol w:w="246"/>
        <w:gridCol w:w="4915"/>
      </w:tblGrid>
      <w:tr w:rsidR="00E62B66" w:rsidRPr="00625F28" w14:paraId="27899225" w14:textId="77777777" w:rsidTr="4579B848">
        <w:trPr>
          <w:trHeight w:val="704"/>
          <w:jc w:val="center"/>
        </w:trPr>
        <w:tc>
          <w:tcPr>
            <w:tcW w:w="4724" w:type="dxa"/>
            <w:tcBorders>
              <w:top w:val="single" w:sz="8" w:space="0" w:color="auto"/>
              <w:left w:val="nil"/>
              <w:bottom w:val="single" w:sz="8" w:space="0" w:color="auto"/>
              <w:right w:val="nil"/>
            </w:tcBorders>
            <w:tcMar>
              <w:top w:w="0" w:type="dxa"/>
              <w:left w:w="108" w:type="dxa"/>
              <w:bottom w:w="0" w:type="dxa"/>
              <w:right w:w="108" w:type="dxa"/>
            </w:tcMar>
            <w:hideMark/>
          </w:tcPr>
          <w:p w14:paraId="3D75826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caps/>
                <w:sz w:val="22"/>
                <w:szCs w:val="22"/>
                <w:lang w:val="en-US" w:eastAsia="en-US"/>
              </w:rPr>
              <w:t>Client</w:t>
            </w:r>
          </w:p>
        </w:tc>
        <w:tc>
          <w:tcPr>
            <w:tcW w:w="246" w:type="dxa"/>
            <w:tcMar>
              <w:top w:w="0" w:type="dxa"/>
              <w:left w:w="108" w:type="dxa"/>
              <w:bottom w:w="0" w:type="dxa"/>
              <w:right w:w="108" w:type="dxa"/>
            </w:tcMar>
          </w:tcPr>
          <w:p w14:paraId="60189623"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single" w:sz="8" w:space="0" w:color="auto"/>
              <w:left w:val="nil"/>
              <w:bottom w:val="single" w:sz="8" w:space="0" w:color="auto"/>
              <w:right w:val="nil"/>
            </w:tcBorders>
            <w:tcMar>
              <w:top w:w="0" w:type="dxa"/>
              <w:left w:w="108" w:type="dxa"/>
              <w:bottom w:w="0" w:type="dxa"/>
              <w:right w:w="108" w:type="dxa"/>
            </w:tcMar>
            <w:hideMark/>
          </w:tcPr>
          <w:p w14:paraId="2A44AC0F" w14:textId="640AFEFE" w:rsidR="00E62B66" w:rsidRPr="00625F28" w:rsidRDefault="0EFFF051" w:rsidP="00E62B66">
            <w:pPr>
              <w:pStyle w:val="PlainText"/>
              <w:spacing w:before="40"/>
              <w:jc w:val="both"/>
              <w:rPr>
                <w:rFonts w:ascii="Trebuchet MS" w:hAnsi="Trebuchet MS" w:cs="Arial"/>
                <w:sz w:val="22"/>
                <w:szCs w:val="22"/>
                <w:lang w:val="en-US" w:eastAsia="en-US"/>
              </w:rPr>
            </w:pPr>
            <w:r w:rsidRPr="40D7270A">
              <w:rPr>
                <w:rFonts w:ascii="Trebuchet MS" w:hAnsi="Trebuchet MS" w:cs="Arial"/>
                <w:caps/>
                <w:sz w:val="22"/>
                <w:szCs w:val="22"/>
                <w:lang w:val="en-US" w:eastAsia="en-US"/>
              </w:rPr>
              <w:t>TSC</w:t>
            </w:r>
            <w:r w:rsidR="00E62B66" w:rsidRPr="40D7270A">
              <w:rPr>
                <w:rFonts w:ascii="Trebuchet MS" w:hAnsi="Trebuchet MS" w:cs="Arial"/>
                <w:caps/>
                <w:sz w:val="22"/>
                <w:szCs w:val="22"/>
                <w:lang w:val="en-US" w:eastAsia="en-US"/>
              </w:rPr>
              <w:t xml:space="preserve">: </w:t>
            </w:r>
            <w:r w:rsidR="00097C06">
              <w:rPr>
                <w:rFonts w:ascii="Trebuchet MS" w:hAnsi="Trebuchet MS" w:cs="Arial"/>
                <w:caps/>
                <w:sz w:val="22"/>
                <w:szCs w:val="22"/>
                <w:lang w:val="en-US" w:eastAsia="en-US"/>
              </w:rPr>
              <w:t>THE SERVICE COMPANIES</w:t>
            </w:r>
          </w:p>
        </w:tc>
      </w:tr>
      <w:tr w:rsidR="00E62B66" w:rsidRPr="00625F28" w14:paraId="6A94A09D" w14:textId="77777777" w:rsidTr="4579B848">
        <w:trPr>
          <w:trHeight w:val="688"/>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63B84EFC"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c>
          <w:tcPr>
            <w:tcW w:w="246" w:type="dxa"/>
            <w:tcMar>
              <w:top w:w="0" w:type="dxa"/>
              <w:left w:w="108" w:type="dxa"/>
              <w:bottom w:w="0" w:type="dxa"/>
              <w:right w:w="108" w:type="dxa"/>
            </w:tcMar>
          </w:tcPr>
          <w:p w14:paraId="30BB069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11F7CD8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r>
      <w:tr w:rsidR="00E62B66" w:rsidRPr="00625F28" w14:paraId="3F04647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62E2887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c>
          <w:tcPr>
            <w:tcW w:w="246" w:type="dxa"/>
            <w:tcMar>
              <w:top w:w="0" w:type="dxa"/>
              <w:left w:w="108" w:type="dxa"/>
              <w:bottom w:w="0" w:type="dxa"/>
              <w:right w:w="108" w:type="dxa"/>
            </w:tcMar>
          </w:tcPr>
          <w:p w14:paraId="279935FD"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3BB8E3B5"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r>
      <w:tr w:rsidR="00E62B66" w:rsidRPr="00625F28" w14:paraId="4979190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268E9DD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c>
          <w:tcPr>
            <w:tcW w:w="246" w:type="dxa"/>
            <w:tcMar>
              <w:top w:w="0" w:type="dxa"/>
              <w:left w:w="108" w:type="dxa"/>
              <w:bottom w:w="0" w:type="dxa"/>
              <w:right w:w="108" w:type="dxa"/>
            </w:tcMar>
          </w:tcPr>
          <w:p w14:paraId="484A29EE"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60376DB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r>
      <w:tr w:rsidR="00E62B66" w:rsidRPr="00625F28" w14:paraId="05DF15C9" w14:textId="77777777" w:rsidTr="4579B848">
        <w:trPr>
          <w:trHeight w:val="443"/>
          <w:jc w:val="center"/>
        </w:trPr>
        <w:tc>
          <w:tcPr>
            <w:tcW w:w="4724" w:type="dxa"/>
            <w:tcMar>
              <w:top w:w="0" w:type="dxa"/>
              <w:left w:w="108" w:type="dxa"/>
              <w:bottom w:w="0" w:type="dxa"/>
              <w:right w:w="108" w:type="dxa"/>
            </w:tcMar>
            <w:hideMark/>
          </w:tcPr>
          <w:p w14:paraId="45C17AE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Date</w:t>
            </w:r>
          </w:p>
        </w:tc>
        <w:tc>
          <w:tcPr>
            <w:tcW w:w="246" w:type="dxa"/>
            <w:tcMar>
              <w:top w:w="0" w:type="dxa"/>
              <w:left w:w="108" w:type="dxa"/>
              <w:bottom w:w="0" w:type="dxa"/>
              <w:right w:w="108" w:type="dxa"/>
            </w:tcMar>
          </w:tcPr>
          <w:p w14:paraId="2A93EE1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Mar>
              <w:top w:w="0" w:type="dxa"/>
              <w:left w:w="108" w:type="dxa"/>
              <w:bottom w:w="0" w:type="dxa"/>
              <w:right w:w="108" w:type="dxa"/>
            </w:tcMar>
          </w:tcPr>
          <w:p w14:paraId="78699752" w14:textId="5AD9ABC5" w:rsidR="007F03D8" w:rsidRPr="00625F28" w:rsidRDefault="00E62B66" w:rsidP="00E62B66">
            <w:pPr>
              <w:pStyle w:val="PlainText"/>
              <w:spacing w:before="40"/>
              <w:jc w:val="both"/>
              <w:rPr>
                <w:rFonts w:ascii="Trebuchet MS" w:hAnsi="Trebuchet MS" w:cs="Arial"/>
                <w:sz w:val="22"/>
                <w:szCs w:val="22"/>
                <w:lang w:val="en-US" w:eastAsia="en-US"/>
              </w:rPr>
            </w:pPr>
            <w:r w:rsidRPr="71C6B74B">
              <w:rPr>
                <w:rFonts w:ascii="Trebuchet MS" w:hAnsi="Trebuchet MS" w:cs="Arial"/>
                <w:sz w:val="22"/>
                <w:szCs w:val="22"/>
                <w:lang w:val="en-US" w:eastAsia="en-US"/>
              </w:rPr>
              <w:t>Date</w:t>
            </w:r>
          </w:p>
        </w:tc>
      </w:tr>
      <w:tr w:rsidR="007F03D8" w:rsidRPr="00625F28" w14:paraId="6098EC28" w14:textId="77777777" w:rsidTr="4579B848">
        <w:trPr>
          <w:trHeight w:val="443"/>
          <w:jc w:val="center"/>
        </w:trPr>
        <w:tc>
          <w:tcPr>
            <w:tcW w:w="4724" w:type="dxa"/>
            <w:tcMar>
              <w:top w:w="0" w:type="dxa"/>
              <w:left w:w="108" w:type="dxa"/>
              <w:bottom w:w="0" w:type="dxa"/>
              <w:right w:w="108" w:type="dxa"/>
            </w:tcMar>
          </w:tcPr>
          <w:p w14:paraId="33F51527" w14:textId="6ACA2CE1" w:rsidR="007F03D8" w:rsidRPr="00625F28" w:rsidRDefault="007F03D8" w:rsidP="71C6B74B">
            <w:pPr>
              <w:pStyle w:val="PlainText"/>
              <w:spacing w:before="40"/>
              <w:jc w:val="both"/>
              <w:rPr>
                <w:rFonts w:ascii="Trebuchet MS" w:hAnsi="Trebuchet MS" w:cs="Arial"/>
                <w:sz w:val="22"/>
                <w:szCs w:val="22"/>
                <w:lang w:val="en-US" w:eastAsia="en-US"/>
              </w:rPr>
            </w:pPr>
          </w:p>
          <w:p w14:paraId="5A537032" w14:textId="47B0EAA7"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4E042680"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1045CB67"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r w:rsidR="007F03D8" w:rsidRPr="00625F28" w14:paraId="333B1F35" w14:textId="77777777" w:rsidTr="4579B848">
        <w:trPr>
          <w:trHeight w:val="443"/>
          <w:jc w:val="center"/>
        </w:trPr>
        <w:tc>
          <w:tcPr>
            <w:tcW w:w="4724" w:type="dxa"/>
            <w:tcMar>
              <w:top w:w="0" w:type="dxa"/>
              <w:left w:w="108" w:type="dxa"/>
              <w:bottom w:w="0" w:type="dxa"/>
              <w:right w:w="108" w:type="dxa"/>
            </w:tcMar>
          </w:tcPr>
          <w:p w14:paraId="65A8AE25" w14:textId="77777777"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132DA5B3"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593A78DA"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bl>
    <w:p w14:paraId="49C658B9" w14:textId="0A7FD18A" w:rsidR="001E0E6E" w:rsidRPr="00625F28" w:rsidRDefault="001E0E6E" w:rsidP="00E62B66">
      <w:pPr>
        <w:pStyle w:val="Default"/>
        <w:rPr>
          <w:rFonts w:ascii="Trebuchet MS" w:hAnsi="Trebuchet MS" w:cs="Times New Roman"/>
          <w:color w:val="auto"/>
          <w:sz w:val="23"/>
          <w:szCs w:val="23"/>
        </w:rPr>
      </w:pPr>
    </w:p>
    <w:sectPr w:rsidR="001E0E6E" w:rsidRPr="00625F28" w:rsidSect="0024555D">
      <w:pgSz w:w="12240" w:h="15840" w:code="1"/>
      <w:pgMar w:top="1500" w:right="831" w:bottom="371" w:left="84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EB842"/>
    <w:multiLevelType w:val="hybridMultilevel"/>
    <w:tmpl w:val="830D4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FF5F5"/>
    <w:multiLevelType w:val="hybridMultilevel"/>
    <w:tmpl w:val="C1E193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F370F8"/>
    <w:multiLevelType w:val="hybridMultilevel"/>
    <w:tmpl w:val="02794E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286D04"/>
    <w:multiLevelType w:val="hybridMultilevel"/>
    <w:tmpl w:val="B694E3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CBC622"/>
    <w:multiLevelType w:val="hybridMultilevel"/>
    <w:tmpl w:val="F7F96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CC9DD9"/>
    <w:multiLevelType w:val="hybridMultilevel"/>
    <w:tmpl w:val="4D1382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hybridMultilevel"/>
    <w:tmpl w:val="71320498"/>
    <w:lvl w:ilvl="0" w:tplc="C1BAA59C">
      <w:start w:val="1"/>
      <w:numFmt w:val="bullet"/>
      <w:lvlText w:val=""/>
      <w:lvlJc w:val="left"/>
      <w:pPr>
        <w:tabs>
          <w:tab w:val="num" w:pos="0"/>
        </w:tabs>
        <w:ind w:left="0" w:firstLine="0"/>
      </w:pPr>
      <w:rPr>
        <w:rFonts w:ascii="Symbol" w:hAnsi="Symbol" w:hint="default"/>
      </w:rPr>
    </w:lvl>
    <w:lvl w:ilvl="1" w:tplc="BFD49852">
      <w:start w:val="1"/>
      <w:numFmt w:val="bullet"/>
      <w:lvlText w:val=""/>
      <w:lvlJc w:val="left"/>
      <w:pPr>
        <w:tabs>
          <w:tab w:val="num" w:pos="720"/>
        </w:tabs>
        <w:ind w:left="1080" w:hanging="360"/>
      </w:pPr>
      <w:rPr>
        <w:rFonts w:ascii="Symbol" w:hAnsi="Symbol" w:hint="default"/>
      </w:rPr>
    </w:lvl>
    <w:lvl w:ilvl="2" w:tplc="110A2B06">
      <w:start w:val="1"/>
      <w:numFmt w:val="bullet"/>
      <w:lvlText w:val="o"/>
      <w:lvlJc w:val="left"/>
      <w:pPr>
        <w:tabs>
          <w:tab w:val="num" w:pos="1440"/>
        </w:tabs>
        <w:ind w:left="1800" w:hanging="360"/>
      </w:pPr>
      <w:rPr>
        <w:rFonts w:ascii="Courier New" w:hAnsi="Courier New" w:hint="default"/>
      </w:rPr>
    </w:lvl>
    <w:lvl w:ilvl="3" w:tplc="D0B085AC">
      <w:start w:val="1"/>
      <w:numFmt w:val="bullet"/>
      <w:lvlText w:val=""/>
      <w:lvlJc w:val="left"/>
      <w:pPr>
        <w:tabs>
          <w:tab w:val="num" w:pos="2160"/>
        </w:tabs>
        <w:ind w:left="2520" w:hanging="360"/>
      </w:pPr>
      <w:rPr>
        <w:rFonts w:ascii="Wingdings" w:hAnsi="Wingdings" w:hint="default"/>
      </w:rPr>
    </w:lvl>
    <w:lvl w:ilvl="4" w:tplc="7C54310A">
      <w:start w:val="1"/>
      <w:numFmt w:val="bullet"/>
      <w:lvlText w:val=""/>
      <w:lvlJc w:val="left"/>
      <w:pPr>
        <w:tabs>
          <w:tab w:val="num" w:pos="2880"/>
        </w:tabs>
        <w:ind w:left="3240" w:hanging="360"/>
      </w:pPr>
      <w:rPr>
        <w:rFonts w:ascii="Wingdings" w:hAnsi="Wingdings" w:hint="default"/>
      </w:rPr>
    </w:lvl>
    <w:lvl w:ilvl="5" w:tplc="D88E4B66">
      <w:start w:val="1"/>
      <w:numFmt w:val="bullet"/>
      <w:lvlText w:val=""/>
      <w:lvlJc w:val="left"/>
      <w:pPr>
        <w:tabs>
          <w:tab w:val="num" w:pos="3600"/>
        </w:tabs>
        <w:ind w:left="3960" w:hanging="360"/>
      </w:pPr>
      <w:rPr>
        <w:rFonts w:ascii="Symbol" w:hAnsi="Symbol" w:hint="default"/>
      </w:rPr>
    </w:lvl>
    <w:lvl w:ilvl="6" w:tplc="E4985F88">
      <w:start w:val="1"/>
      <w:numFmt w:val="bullet"/>
      <w:lvlText w:val="o"/>
      <w:lvlJc w:val="left"/>
      <w:pPr>
        <w:tabs>
          <w:tab w:val="num" w:pos="4320"/>
        </w:tabs>
        <w:ind w:left="4680" w:hanging="360"/>
      </w:pPr>
      <w:rPr>
        <w:rFonts w:ascii="Courier New" w:hAnsi="Courier New" w:hint="default"/>
      </w:rPr>
    </w:lvl>
    <w:lvl w:ilvl="7" w:tplc="6882AE56">
      <w:start w:val="1"/>
      <w:numFmt w:val="bullet"/>
      <w:lvlText w:val=""/>
      <w:lvlJc w:val="left"/>
      <w:pPr>
        <w:tabs>
          <w:tab w:val="num" w:pos="5040"/>
        </w:tabs>
        <w:ind w:left="5400" w:hanging="360"/>
      </w:pPr>
      <w:rPr>
        <w:rFonts w:ascii="Wingdings" w:hAnsi="Wingdings" w:hint="default"/>
      </w:rPr>
    </w:lvl>
    <w:lvl w:ilvl="8" w:tplc="A26EFE66">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0ABD9BE1"/>
    <w:multiLevelType w:val="hybridMultilevel"/>
    <w:tmpl w:val="6E11EC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017D14"/>
    <w:multiLevelType w:val="hybridMultilevel"/>
    <w:tmpl w:val="3936C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2A0B42"/>
    <w:multiLevelType w:val="hybridMultilevel"/>
    <w:tmpl w:val="2E3DD1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F993B7"/>
    <w:multiLevelType w:val="hybridMultilevel"/>
    <w:tmpl w:val="B6367C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7"/>
  </w:num>
  <w:num w:numId="3">
    <w:abstractNumId w:val="10"/>
  </w:num>
  <w:num w:numId="4">
    <w:abstractNumId w:val="4"/>
  </w:num>
  <w:num w:numId="5">
    <w:abstractNumId w:val="8"/>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09"/>
    <w:rsid w:val="00031A38"/>
    <w:rsid w:val="00046A43"/>
    <w:rsid w:val="00050158"/>
    <w:rsid w:val="0005103E"/>
    <w:rsid w:val="00055FC9"/>
    <w:rsid w:val="00073572"/>
    <w:rsid w:val="00091C28"/>
    <w:rsid w:val="00093D69"/>
    <w:rsid w:val="000951F9"/>
    <w:rsid w:val="00097719"/>
    <w:rsid w:val="00097BDC"/>
    <w:rsid w:val="00097C06"/>
    <w:rsid w:val="000A37FA"/>
    <w:rsid w:val="000B3FF7"/>
    <w:rsid w:val="000B4F01"/>
    <w:rsid w:val="000B6F62"/>
    <w:rsid w:val="000E3B8E"/>
    <w:rsid w:val="000F3192"/>
    <w:rsid w:val="000F5E55"/>
    <w:rsid w:val="0010385B"/>
    <w:rsid w:val="001105C5"/>
    <w:rsid w:val="00113837"/>
    <w:rsid w:val="00113D32"/>
    <w:rsid w:val="00117081"/>
    <w:rsid w:val="00130915"/>
    <w:rsid w:val="00135B75"/>
    <w:rsid w:val="001545DB"/>
    <w:rsid w:val="00164BA9"/>
    <w:rsid w:val="00165F80"/>
    <w:rsid w:val="001743CA"/>
    <w:rsid w:val="001855E9"/>
    <w:rsid w:val="00191B8D"/>
    <w:rsid w:val="001A481D"/>
    <w:rsid w:val="001B2B8E"/>
    <w:rsid w:val="001D2249"/>
    <w:rsid w:val="001D2B23"/>
    <w:rsid w:val="001E0E6E"/>
    <w:rsid w:val="001E7584"/>
    <w:rsid w:val="001F1DB2"/>
    <w:rsid w:val="002071CE"/>
    <w:rsid w:val="00214B5D"/>
    <w:rsid w:val="00214B88"/>
    <w:rsid w:val="00217443"/>
    <w:rsid w:val="002212A1"/>
    <w:rsid w:val="00221680"/>
    <w:rsid w:val="0022415E"/>
    <w:rsid w:val="00227836"/>
    <w:rsid w:val="0024555D"/>
    <w:rsid w:val="00250E7D"/>
    <w:rsid w:val="0025478B"/>
    <w:rsid w:val="00256078"/>
    <w:rsid w:val="00256CE2"/>
    <w:rsid w:val="00260AE5"/>
    <w:rsid w:val="00264AA0"/>
    <w:rsid w:val="002736B7"/>
    <w:rsid w:val="00273A8D"/>
    <w:rsid w:val="002825AB"/>
    <w:rsid w:val="00285437"/>
    <w:rsid w:val="00287FEA"/>
    <w:rsid w:val="00290DB0"/>
    <w:rsid w:val="00294B3D"/>
    <w:rsid w:val="002A103A"/>
    <w:rsid w:val="002A4400"/>
    <w:rsid w:val="002B28E2"/>
    <w:rsid w:val="002B3B56"/>
    <w:rsid w:val="002C493A"/>
    <w:rsid w:val="002D1403"/>
    <w:rsid w:val="002E0D3C"/>
    <w:rsid w:val="002E293F"/>
    <w:rsid w:val="002F02FB"/>
    <w:rsid w:val="002F4F9B"/>
    <w:rsid w:val="00314F84"/>
    <w:rsid w:val="00342BE4"/>
    <w:rsid w:val="00347769"/>
    <w:rsid w:val="00357568"/>
    <w:rsid w:val="00360C58"/>
    <w:rsid w:val="00375C61"/>
    <w:rsid w:val="003837E2"/>
    <w:rsid w:val="00393756"/>
    <w:rsid w:val="00393B49"/>
    <w:rsid w:val="003A5BD5"/>
    <w:rsid w:val="003B3197"/>
    <w:rsid w:val="003B33FE"/>
    <w:rsid w:val="003B3EB0"/>
    <w:rsid w:val="003D10FF"/>
    <w:rsid w:val="003D3854"/>
    <w:rsid w:val="003D73BF"/>
    <w:rsid w:val="003F7772"/>
    <w:rsid w:val="004026A9"/>
    <w:rsid w:val="00420050"/>
    <w:rsid w:val="0042172C"/>
    <w:rsid w:val="00433CF2"/>
    <w:rsid w:val="00436C61"/>
    <w:rsid w:val="004537AE"/>
    <w:rsid w:val="004838FF"/>
    <w:rsid w:val="00486E99"/>
    <w:rsid w:val="00490F5B"/>
    <w:rsid w:val="004A6E93"/>
    <w:rsid w:val="004A7F9E"/>
    <w:rsid w:val="004B67F5"/>
    <w:rsid w:val="004B68F9"/>
    <w:rsid w:val="004C2CF9"/>
    <w:rsid w:val="004C50ED"/>
    <w:rsid w:val="004D1027"/>
    <w:rsid w:val="004E3CCE"/>
    <w:rsid w:val="004E445A"/>
    <w:rsid w:val="004E6DB5"/>
    <w:rsid w:val="004F2758"/>
    <w:rsid w:val="00503687"/>
    <w:rsid w:val="005157AF"/>
    <w:rsid w:val="00525ED5"/>
    <w:rsid w:val="005439B2"/>
    <w:rsid w:val="00552F90"/>
    <w:rsid w:val="0055377E"/>
    <w:rsid w:val="00555096"/>
    <w:rsid w:val="005605F7"/>
    <w:rsid w:val="00571746"/>
    <w:rsid w:val="00571CD1"/>
    <w:rsid w:val="00593C46"/>
    <w:rsid w:val="0059426F"/>
    <w:rsid w:val="0059541E"/>
    <w:rsid w:val="00595E6B"/>
    <w:rsid w:val="005A729D"/>
    <w:rsid w:val="005A770F"/>
    <w:rsid w:val="005B4549"/>
    <w:rsid w:val="005C4E25"/>
    <w:rsid w:val="005C7E08"/>
    <w:rsid w:val="005D3B0E"/>
    <w:rsid w:val="005E5EEF"/>
    <w:rsid w:val="005F222E"/>
    <w:rsid w:val="00616D54"/>
    <w:rsid w:val="006210B2"/>
    <w:rsid w:val="00625F28"/>
    <w:rsid w:val="006326F2"/>
    <w:rsid w:val="00640A34"/>
    <w:rsid w:val="00642961"/>
    <w:rsid w:val="006520E6"/>
    <w:rsid w:val="00662683"/>
    <w:rsid w:val="006711B9"/>
    <w:rsid w:val="00676F38"/>
    <w:rsid w:val="00693F0D"/>
    <w:rsid w:val="00695A0D"/>
    <w:rsid w:val="006961B0"/>
    <w:rsid w:val="006B0F41"/>
    <w:rsid w:val="006B198F"/>
    <w:rsid w:val="006B29AC"/>
    <w:rsid w:val="006C646E"/>
    <w:rsid w:val="006D37BF"/>
    <w:rsid w:val="006D3A2E"/>
    <w:rsid w:val="006D7704"/>
    <w:rsid w:val="006F7137"/>
    <w:rsid w:val="006F7243"/>
    <w:rsid w:val="0071589A"/>
    <w:rsid w:val="00715D23"/>
    <w:rsid w:val="00723DFE"/>
    <w:rsid w:val="00744E63"/>
    <w:rsid w:val="00753A33"/>
    <w:rsid w:val="00757602"/>
    <w:rsid w:val="00761264"/>
    <w:rsid w:val="00772B67"/>
    <w:rsid w:val="00790899"/>
    <w:rsid w:val="0079325A"/>
    <w:rsid w:val="00793871"/>
    <w:rsid w:val="007A0EAF"/>
    <w:rsid w:val="007A1FE1"/>
    <w:rsid w:val="007A2701"/>
    <w:rsid w:val="007A50C5"/>
    <w:rsid w:val="007C0E4A"/>
    <w:rsid w:val="007C2ABA"/>
    <w:rsid w:val="007C5866"/>
    <w:rsid w:val="007D55D9"/>
    <w:rsid w:val="007E678A"/>
    <w:rsid w:val="007F0193"/>
    <w:rsid w:val="007F03D8"/>
    <w:rsid w:val="007F4D07"/>
    <w:rsid w:val="007F6634"/>
    <w:rsid w:val="00802055"/>
    <w:rsid w:val="00806DF4"/>
    <w:rsid w:val="008322C3"/>
    <w:rsid w:val="00841B19"/>
    <w:rsid w:val="00846846"/>
    <w:rsid w:val="00864E37"/>
    <w:rsid w:val="008773E5"/>
    <w:rsid w:val="0089509E"/>
    <w:rsid w:val="008D3918"/>
    <w:rsid w:val="008D51A7"/>
    <w:rsid w:val="008E3BDE"/>
    <w:rsid w:val="008F41B5"/>
    <w:rsid w:val="00900C18"/>
    <w:rsid w:val="00906A1C"/>
    <w:rsid w:val="00914160"/>
    <w:rsid w:val="00933D21"/>
    <w:rsid w:val="009442A3"/>
    <w:rsid w:val="00947166"/>
    <w:rsid w:val="00962DD6"/>
    <w:rsid w:val="00965785"/>
    <w:rsid w:val="00974113"/>
    <w:rsid w:val="009755FE"/>
    <w:rsid w:val="00990C87"/>
    <w:rsid w:val="009A02DB"/>
    <w:rsid w:val="009B0901"/>
    <w:rsid w:val="009C1F58"/>
    <w:rsid w:val="009D6C71"/>
    <w:rsid w:val="009D6E83"/>
    <w:rsid w:val="009D7679"/>
    <w:rsid w:val="009E63A8"/>
    <w:rsid w:val="009F06B1"/>
    <w:rsid w:val="009F0DB8"/>
    <w:rsid w:val="009F2761"/>
    <w:rsid w:val="009F584C"/>
    <w:rsid w:val="00A0279F"/>
    <w:rsid w:val="00A073F7"/>
    <w:rsid w:val="00A11BD3"/>
    <w:rsid w:val="00A13138"/>
    <w:rsid w:val="00A200C5"/>
    <w:rsid w:val="00A30BB2"/>
    <w:rsid w:val="00A32156"/>
    <w:rsid w:val="00A34C06"/>
    <w:rsid w:val="00A46C4A"/>
    <w:rsid w:val="00A5580E"/>
    <w:rsid w:val="00A630BC"/>
    <w:rsid w:val="00A73678"/>
    <w:rsid w:val="00A771CF"/>
    <w:rsid w:val="00A85AF4"/>
    <w:rsid w:val="00A86A12"/>
    <w:rsid w:val="00A920F6"/>
    <w:rsid w:val="00A92B2E"/>
    <w:rsid w:val="00AA3A07"/>
    <w:rsid w:val="00AB475F"/>
    <w:rsid w:val="00AC7F51"/>
    <w:rsid w:val="00AF19E2"/>
    <w:rsid w:val="00AF22F9"/>
    <w:rsid w:val="00AF52FF"/>
    <w:rsid w:val="00B06B76"/>
    <w:rsid w:val="00B0783D"/>
    <w:rsid w:val="00B219AF"/>
    <w:rsid w:val="00B3422A"/>
    <w:rsid w:val="00B45F8F"/>
    <w:rsid w:val="00B63756"/>
    <w:rsid w:val="00B70151"/>
    <w:rsid w:val="00B763A8"/>
    <w:rsid w:val="00B8249D"/>
    <w:rsid w:val="00B928F8"/>
    <w:rsid w:val="00BA4F05"/>
    <w:rsid w:val="00BA5D84"/>
    <w:rsid w:val="00BB44A7"/>
    <w:rsid w:val="00BD27F3"/>
    <w:rsid w:val="00BE1656"/>
    <w:rsid w:val="00BE6669"/>
    <w:rsid w:val="00BE6736"/>
    <w:rsid w:val="00BF0813"/>
    <w:rsid w:val="00BF42A3"/>
    <w:rsid w:val="00C04AF4"/>
    <w:rsid w:val="00C04FEC"/>
    <w:rsid w:val="00C15293"/>
    <w:rsid w:val="00C26F88"/>
    <w:rsid w:val="00C3088D"/>
    <w:rsid w:val="00C4344A"/>
    <w:rsid w:val="00C43A8D"/>
    <w:rsid w:val="00C46FBD"/>
    <w:rsid w:val="00C607EA"/>
    <w:rsid w:val="00C6574C"/>
    <w:rsid w:val="00C66B86"/>
    <w:rsid w:val="00C80CD1"/>
    <w:rsid w:val="00C80FC7"/>
    <w:rsid w:val="00C82CF3"/>
    <w:rsid w:val="00C964F4"/>
    <w:rsid w:val="00C967D5"/>
    <w:rsid w:val="00CA0C18"/>
    <w:rsid w:val="00CB2EB2"/>
    <w:rsid w:val="00CC0AFF"/>
    <w:rsid w:val="00CC2B44"/>
    <w:rsid w:val="00CC7FC8"/>
    <w:rsid w:val="00CF7BBF"/>
    <w:rsid w:val="00D01540"/>
    <w:rsid w:val="00D125B7"/>
    <w:rsid w:val="00D16A38"/>
    <w:rsid w:val="00D379FF"/>
    <w:rsid w:val="00D517DD"/>
    <w:rsid w:val="00D70FD9"/>
    <w:rsid w:val="00D73F34"/>
    <w:rsid w:val="00D76088"/>
    <w:rsid w:val="00DC1F09"/>
    <w:rsid w:val="00DD29C3"/>
    <w:rsid w:val="00DE218E"/>
    <w:rsid w:val="00DE2205"/>
    <w:rsid w:val="00DE7E9C"/>
    <w:rsid w:val="00DF09E6"/>
    <w:rsid w:val="00DF5CF4"/>
    <w:rsid w:val="00E01E09"/>
    <w:rsid w:val="00E25273"/>
    <w:rsid w:val="00E3048E"/>
    <w:rsid w:val="00E30ADA"/>
    <w:rsid w:val="00E30B19"/>
    <w:rsid w:val="00E369EC"/>
    <w:rsid w:val="00E4129B"/>
    <w:rsid w:val="00E43D8A"/>
    <w:rsid w:val="00E543B0"/>
    <w:rsid w:val="00E5750E"/>
    <w:rsid w:val="00E5B617"/>
    <w:rsid w:val="00E62B66"/>
    <w:rsid w:val="00E64007"/>
    <w:rsid w:val="00E77598"/>
    <w:rsid w:val="00E803CB"/>
    <w:rsid w:val="00E843AB"/>
    <w:rsid w:val="00EA44C5"/>
    <w:rsid w:val="00EB52ED"/>
    <w:rsid w:val="00EC24DB"/>
    <w:rsid w:val="00EC2B92"/>
    <w:rsid w:val="00EC3547"/>
    <w:rsid w:val="00EC5A3A"/>
    <w:rsid w:val="00EE0163"/>
    <w:rsid w:val="00EE2CC6"/>
    <w:rsid w:val="00EE7964"/>
    <w:rsid w:val="00EF4C19"/>
    <w:rsid w:val="00EF595A"/>
    <w:rsid w:val="00EF7FCB"/>
    <w:rsid w:val="00F04488"/>
    <w:rsid w:val="00F0547B"/>
    <w:rsid w:val="00F115E2"/>
    <w:rsid w:val="00F1781F"/>
    <w:rsid w:val="00F2381F"/>
    <w:rsid w:val="00F24AAF"/>
    <w:rsid w:val="00F309A7"/>
    <w:rsid w:val="00F3322B"/>
    <w:rsid w:val="00F42A95"/>
    <w:rsid w:val="00F511F7"/>
    <w:rsid w:val="00F76157"/>
    <w:rsid w:val="00F81FC0"/>
    <w:rsid w:val="00F83158"/>
    <w:rsid w:val="00F871D3"/>
    <w:rsid w:val="00F9325E"/>
    <w:rsid w:val="00F94523"/>
    <w:rsid w:val="00FA4DD5"/>
    <w:rsid w:val="00FA5336"/>
    <w:rsid w:val="00FB01D4"/>
    <w:rsid w:val="00FB1F1D"/>
    <w:rsid w:val="00FC51C7"/>
    <w:rsid w:val="00FD227D"/>
    <w:rsid w:val="00FD761E"/>
    <w:rsid w:val="00FE5910"/>
    <w:rsid w:val="00FF303E"/>
    <w:rsid w:val="00FF58A0"/>
    <w:rsid w:val="010896AB"/>
    <w:rsid w:val="0148E7B0"/>
    <w:rsid w:val="01F29B5E"/>
    <w:rsid w:val="024E4CEE"/>
    <w:rsid w:val="0338E99C"/>
    <w:rsid w:val="04EA5E5C"/>
    <w:rsid w:val="06569001"/>
    <w:rsid w:val="066131F6"/>
    <w:rsid w:val="06918B7A"/>
    <w:rsid w:val="072EBC86"/>
    <w:rsid w:val="07455690"/>
    <w:rsid w:val="078AA721"/>
    <w:rsid w:val="07FF54CB"/>
    <w:rsid w:val="080CA144"/>
    <w:rsid w:val="0823021B"/>
    <w:rsid w:val="0848F136"/>
    <w:rsid w:val="088BE768"/>
    <w:rsid w:val="08908863"/>
    <w:rsid w:val="08E76CFA"/>
    <w:rsid w:val="0938046F"/>
    <w:rsid w:val="0943A0BE"/>
    <w:rsid w:val="096F8AE7"/>
    <w:rsid w:val="0AB9EA58"/>
    <w:rsid w:val="0B52C4C4"/>
    <w:rsid w:val="0B61CFE9"/>
    <w:rsid w:val="0C0C0DF3"/>
    <w:rsid w:val="0D3DFBE2"/>
    <w:rsid w:val="0DDA4CF6"/>
    <w:rsid w:val="0DE09E26"/>
    <w:rsid w:val="0DF0D860"/>
    <w:rsid w:val="0E68C99F"/>
    <w:rsid w:val="0EACABA0"/>
    <w:rsid w:val="0EB3B5D5"/>
    <w:rsid w:val="0EFFF051"/>
    <w:rsid w:val="0F197F47"/>
    <w:rsid w:val="0FAACBEC"/>
    <w:rsid w:val="10766605"/>
    <w:rsid w:val="11DEBAF2"/>
    <w:rsid w:val="1236FD47"/>
    <w:rsid w:val="12389581"/>
    <w:rsid w:val="1290C37B"/>
    <w:rsid w:val="13CC61FF"/>
    <w:rsid w:val="1497C95B"/>
    <w:rsid w:val="14C29FFE"/>
    <w:rsid w:val="159D9290"/>
    <w:rsid w:val="164F165B"/>
    <w:rsid w:val="182E0A9B"/>
    <w:rsid w:val="186A42D7"/>
    <w:rsid w:val="19704139"/>
    <w:rsid w:val="19AE2A55"/>
    <w:rsid w:val="19CDBE22"/>
    <w:rsid w:val="1AE87E5E"/>
    <w:rsid w:val="1B05B391"/>
    <w:rsid w:val="1B91F4ED"/>
    <w:rsid w:val="1C7D195A"/>
    <w:rsid w:val="1CA04BA0"/>
    <w:rsid w:val="1CB52105"/>
    <w:rsid w:val="1D43F7AC"/>
    <w:rsid w:val="1D6BAFCC"/>
    <w:rsid w:val="1D6DE910"/>
    <w:rsid w:val="1E497D5A"/>
    <w:rsid w:val="1E4BD3C2"/>
    <w:rsid w:val="1E53EFDC"/>
    <w:rsid w:val="1F0DDF4C"/>
    <w:rsid w:val="1F603885"/>
    <w:rsid w:val="20E9B781"/>
    <w:rsid w:val="211D7C72"/>
    <w:rsid w:val="219596F8"/>
    <w:rsid w:val="2370D66C"/>
    <w:rsid w:val="248845B1"/>
    <w:rsid w:val="24FB2657"/>
    <w:rsid w:val="24FFD6FF"/>
    <w:rsid w:val="251C9AE0"/>
    <w:rsid w:val="252306F1"/>
    <w:rsid w:val="25B516B6"/>
    <w:rsid w:val="25CCCEE5"/>
    <w:rsid w:val="2649E223"/>
    <w:rsid w:val="265DFDA5"/>
    <w:rsid w:val="27191FDF"/>
    <w:rsid w:val="2734986B"/>
    <w:rsid w:val="27644570"/>
    <w:rsid w:val="2836439B"/>
    <w:rsid w:val="28798389"/>
    <w:rsid w:val="28A548E5"/>
    <w:rsid w:val="28AA4EEE"/>
    <w:rsid w:val="298710E5"/>
    <w:rsid w:val="29F4C146"/>
    <w:rsid w:val="2AA21388"/>
    <w:rsid w:val="2AAB294D"/>
    <w:rsid w:val="2ADF081B"/>
    <w:rsid w:val="2AE6F894"/>
    <w:rsid w:val="2B17DE74"/>
    <w:rsid w:val="2B827214"/>
    <w:rsid w:val="2BF10406"/>
    <w:rsid w:val="2C54E971"/>
    <w:rsid w:val="2C918939"/>
    <w:rsid w:val="2CA65892"/>
    <w:rsid w:val="2D655A9C"/>
    <w:rsid w:val="2D8EE8D8"/>
    <w:rsid w:val="2E0CF091"/>
    <w:rsid w:val="2E12AB0F"/>
    <w:rsid w:val="2EAA72EF"/>
    <w:rsid w:val="2EB41233"/>
    <w:rsid w:val="2EEAE9BA"/>
    <w:rsid w:val="2EF38418"/>
    <w:rsid w:val="2F07AFDD"/>
    <w:rsid w:val="2F5E615B"/>
    <w:rsid w:val="2F786AC3"/>
    <w:rsid w:val="2FEDC855"/>
    <w:rsid w:val="2FFABE63"/>
    <w:rsid w:val="3088CC6D"/>
    <w:rsid w:val="30E0FB81"/>
    <w:rsid w:val="329659CE"/>
    <w:rsid w:val="32A30E2D"/>
    <w:rsid w:val="331B5EA1"/>
    <w:rsid w:val="33EA645F"/>
    <w:rsid w:val="3467BFC1"/>
    <w:rsid w:val="34F269F3"/>
    <w:rsid w:val="3505D9F1"/>
    <w:rsid w:val="3511F5FE"/>
    <w:rsid w:val="355C30DD"/>
    <w:rsid w:val="35D2F222"/>
    <w:rsid w:val="364D67B1"/>
    <w:rsid w:val="366154C2"/>
    <w:rsid w:val="36BB2A83"/>
    <w:rsid w:val="36F48F6E"/>
    <w:rsid w:val="373E5AE7"/>
    <w:rsid w:val="374F24C5"/>
    <w:rsid w:val="38DDA416"/>
    <w:rsid w:val="3944A0BF"/>
    <w:rsid w:val="3A70BBF8"/>
    <w:rsid w:val="3A8C694C"/>
    <w:rsid w:val="3B4921F3"/>
    <w:rsid w:val="3B6AF559"/>
    <w:rsid w:val="3BB86CE5"/>
    <w:rsid w:val="3BE41F9C"/>
    <w:rsid w:val="3C386E8E"/>
    <w:rsid w:val="3C53DA96"/>
    <w:rsid w:val="3C54A2A9"/>
    <w:rsid w:val="3C7D057C"/>
    <w:rsid w:val="3D59E5AD"/>
    <w:rsid w:val="3DCDF539"/>
    <w:rsid w:val="3E3A883C"/>
    <w:rsid w:val="3EA1B8E9"/>
    <w:rsid w:val="3F256FF1"/>
    <w:rsid w:val="40182052"/>
    <w:rsid w:val="4067F9F2"/>
    <w:rsid w:val="40D7270A"/>
    <w:rsid w:val="42B14C51"/>
    <w:rsid w:val="43AD808C"/>
    <w:rsid w:val="43EF8DF9"/>
    <w:rsid w:val="44A2A1FD"/>
    <w:rsid w:val="44B15789"/>
    <w:rsid w:val="44B63198"/>
    <w:rsid w:val="44C02BC5"/>
    <w:rsid w:val="45031AC3"/>
    <w:rsid w:val="450A0930"/>
    <w:rsid w:val="4550579D"/>
    <w:rsid w:val="4579B848"/>
    <w:rsid w:val="462B158D"/>
    <w:rsid w:val="463F923E"/>
    <w:rsid w:val="4650BF63"/>
    <w:rsid w:val="46995342"/>
    <w:rsid w:val="46AB77C0"/>
    <w:rsid w:val="46D9EF07"/>
    <w:rsid w:val="46F17641"/>
    <w:rsid w:val="479499E4"/>
    <w:rsid w:val="48206783"/>
    <w:rsid w:val="483D1F82"/>
    <w:rsid w:val="48CBEFA6"/>
    <w:rsid w:val="48FD305B"/>
    <w:rsid w:val="499F5083"/>
    <w:rsid w:val="49D74BD8"/>
    <w:rsid w:val="49E5B43B"/>
    <w:rsid w:val="4AEA5AD7"/>
    <w:rsid w:val="4B1CCF8C"/>
    <w:rsid w:val="4CA99887"/>
    <w:rsid w:val="4CB983DF"/>
    <w:rsid w:val="4D47FB0A"/>
    <w:rsid w:val="4DADC806"/>
    <w:rsid w:val="4DC46465"/>
    <w:rsid w:val="4FAED72D"/>
    <w:rsid w:val="5032CA6A"/>
    <w:rsid w:val="50E3CFC8"/>
    <w:rsid w:val="51399683"/>
    <w:rsid w:val="5141CE1A"/>
    <w:rsid w:val="519FCCE6"/>
    <w:rsid w:val="51A9954E"/>
    <w:rsid w:val="51E1581E"/>
    <w:rsid w:val="5239605E"/>
    <w:rsid w:val="530812B7"/>
    <w:rsid w:val="532032E9"/>
    <w:rsid w:val="53A08FA3"/>
    <w:rsid w:val="53CF98C6"/>
    <w:rsid w:val="53FD51C0"/>
    <w:rsid w:val="546C0B83"/>
    <w:rsid w:val="548B3F6E"/>
    <w:rsid w:val="553164EB"/>
    <w:rsid w:val="5589BE69"/>
    <w:rsid w:val="560B9DAB"/>
    <w:rsid w:val="560E5726"/>
    <w:rsid w:val="567C1CBA"/>
    <w:rsid w:val="568019FD"/>
    <w:rsid w:val="568AD5EE"/>
    <w:rsid w:val="569551B4"/>
    <w:rsid w:val="56A5B3D0"/>
    <w:rsid w:val="56DE1E50"/>
    <w:rsid w:val="5705E92F"/>
    <w:rsid w:val="573C923E"/>
    <w:rsid w:val="5766EC42"/>
    <w:rsid w:val="57F4B527"/>
    <w:rsid w:val="589DD713"/>
    <w:rsid w:val="58F3399D"/>
    <w:rsid w:val="59E64F5F"/>
    <w:rsid w:val="59E9AEFF"/>
    <w:rsid w:val="5A6126F8"/>
    <w:rsid w:val="5A950953"/>
    <w:rsid w:val="5AA41E99"/>
    <w:rsid w:val="5AD3D6CB"/>
    <w:rsid w:val="5B1F54AD"/>
    <w:rsid w:val="5B919532"/>
    <w:rsid w:val="5BC5A959"/>
    <w:rsid w:val="5E10AC54"/>
    <w:rsid w:val="5E7B95BC"/>
    <w:rsid w:val="5FCFB2FB"/>
    <w:rsid w:val="6023C949"/>
    <w:rsid w:val="602BC48B"/>
    <w:rsid w:val="602FC562"/>
    <w:rsid w:val="6049C42F"/>
    <w:rsid w:val="6189B4DD"/>
    <w:rsid w:val="61FBED92"/>
    <w:rsid w:val="628481D3"/>
    <w:rsid w:val="62924E10"/>
    <w:rsid w:val="62AD27A7"/>
    <w:rsid w:val="62DAB38E"/>
    <w:rsid w:val="63C60661"/>
    <w:rsid w:val="6407E2E5"/>
    <w:rsid w:val="644A647C"/>
    <w:rsid w:val="64BEC911"/>
    <w:rsid w:val="6569B5F2"/>
    <w:rsid w:val="6614355F"/>
    <w:rsid w:val="66321CE6"/>
    <w:rsid w:val="66E279F9"/>
    <w:rsid w:val="66E2A5E5"/>
    <w:rsid w:val="67479CE6"/>
    <w:rsid w:val="697B9FBD"/>
    <w:rsid w:val="698BB4EA"/>
    <w:rsid w:val="6A14539E"/>
    <w:rsid w:val="6A732589"/>
    <w:rsid w:val="6A9882B2"/>
    <w:rsid w:val="6AEBD630"/>
    <w:rsid w:val="6AEE203D"/>
    <w:rsid w:val="6B22DF6F"/>
    <w:rsid w:val="6BEC0F7A"/>
    <w:rsid w:val="6DECE95B"/>
    <w:rsid w:val="6DF11217"/>
    <w:rsid w:val="6E2F2A9B"/>
    <w:rsid w:val="6E73126F"/>
    <w:rsid w:val="6F2BB2D9"/>
    <w:rsid w:val="6F3B0B24"/>
    <w:rsid w:val="6F3B7333"/>
    <w:rsid w:val="712CF46F"/>
    <w:rsid w:val="7169E322"/>
    <w:rsid w:val="718C9467"/>
    <w:rsid w:val="71C6B74B"/>
    <w:rsid w:val="71D91E8F"/>
    <w:rsid w:val="721AE041"/>
    <w:rsid w:val="7343F27E"/>
    <w:rsid w:val="749F39DA"/>
    <w:rsid w:val="74B2F798"/>
    <w:rsid w:val="74D6575C"/>
    <w:rsid w:val="7529A61B"/>
    <w:rsid w:val="7555BCE0"/>
    <w:rsid w:val="75A4BAAD"/>
    <w:rsid w:val="75F78445"/>
    <w:rsid w:val="760C0901"/>
    <w:rsid w:val="763502A4"/>
    <w:rsid w:val="763A4F91"/>
    <w:rsid w:val="76A07F07"/>
    <w:rsid w:val="76C37FEA"/>
    <w:rsid w:val="7757E037"/>
    <w:rsid w:val="779C5EB2"/>
    <w:rsid w:val="781DB068"/>
    <w:rsid w:val="785353F9"/>
    <w:rsid w:val="78A8E0E2"/>
    <w:rsid w:val="79F8E179"/>
    <w:rsid w:val="7A083BB9"/>
    <w:rsid w:val="7B7B5A9D"/>
    <w:rsid w:val="7BDAE5A4"/>
    <w:rsid w:val="7BF66D72"/>
    <w:rsid w:val="7C4AA2F0"/>
    <w:rsid w:val="7E4B99D3"/>
    <w:rsid w:val="7EAD13FC"/>
    <w:rsid w:val="7F1D393C"/>
    <w:rsid w:val="7F6D988F"/>
    <w:rsid w:val="7FB8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406C4"/>
  <w15:chartTrackingRefBased/>
  <w15:docId w15:val="{1F53A195-F470-41F3-ACF8-5B9E5310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PlainText">
    <w:name w:val="Plain Text"/>
    <w:basedOn w:val="Normal"/>
    <w:link w:val="PlainTextChar"/>
    <w:uiPriority w:val="99"/>
    <w:unhideWhenUsed/>
    <w:rsid w:val="00E62B66"/>
    <w:pPr>
      <w:spacing w:after="0" w:line="240" w:lineRule="auto"/>
    </w:pPr>
    <w:rPr>
      <w:rFonts w:ascii="Courier New" w:eastAsia="Calibri" w:hAnsi="Courier New"/>
      <w:sz w:val="20"/>
      <w:szCs w:val="20"/>
      <w:lang w:val="x-none" w:eastAsia="x-none"/>
    </w:rPr>
  </w:style>
  <w:style w:type="character" w:customStyle="1" w:styleId="PlainTextChar">
    <w:name w:val="Plain Text Char"/>
    <w:link w:val="PlainText"/>
    <w:uiPriority w:val="99"/>
    <w:rsid w:val="00E62B66"/>
    <w:rPr>
      <w:rFonts w:ascii="Courier New" w:eastAsia="Calibri" w:hAnsi="Courier New" w:cs="Courier New"/>
    </w:rPr>
  </w:style>
  <w:style w:type="paragraph" w:styleId="BalloonText">
    <w:name w:val="Balloon Text"/>
    <w:basedOn w:val="Normal"/>
    <w:link w:val="BalloonTextChar"/>
    <w:uiPriority w:val="99"/>
    <w:semiHidden/>
    <w:unhideWhenUsed/>
    <w:rsid w:val="00055FC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55FC9"/>
    <w:rPr>
      <w:rFonts w:ascii="Tahoma" w:hAnsi="Tahoma" w:cs="Tahoma"/>
      <w:sz w:val="16"/>
      <w:szCs w:val="16"/>
    </w:rPr>
  </w:style>
  <w:style w:type="character" w:styleId="Hyperlink">
    <w:name w:val="Hyperlink"/>
    <w:uiPriority w:val="99"/>
    <w:unhideWhenUsed/>
    <w:rsid w:val="00BE6736"/>
    <w:rPr>
      <w:color w:val="0000FF"/>
      <w:u w:val="single"/>
    </w:rPr>
  </w:style>
  <w:style w:type="character" w:styleId="CommentReference">
    <w:name w:val="annotation reference"/>
    <w:basedOn w:val="DefaultParagraphFont"/>
    <w:uiPriority w:val="99"/>
    <w:semiHidden/>
    <w:unhideWhenUsed/>
    <w:rsid w:val="00A0279F"/>
    <w:rPr>
      <w:sz w:val="16"/>
      <w:szCs w:val="16"/>
    </w:rPr>
  </w:style>
  <w:style w:type="paragraph" w:styleId="CommentText">
    <w:name w:val="annotation text"/>
    <w:basedOn w:val="Normal"/>
    <w:link w:val="CommentTextChar"/>
    <w:uiPriority w:val="99"/>
    <w:semiHidden/>
    <w:unhideWhenUsed/>
    <w:rsid w:val="00A0279F"/>
    <w:pPr>
      <w:spacing w:line="240" w:lineRule="auto"/>
    </w:pPr>
    <w:rPr>
      <w:sz w:val="20"/>
      <w:szCs w:val="20"/>
    </w:rPr>
  </w:style>
  <w:style w:type="character" w:customStyle="1" w:styleId="CommentTextChar">
    <w:name w:val="Comment Text Char"/>
    <w:basedOn w:val="DefaultParagraphFont"/>
    <w:link w:val="CommentText"/>
    <w:uiPriority w:val="99"/>
    <w:semiHidden/>
    <w:rsid w:val="00A0279F"/>
  </w:style>
  <w:style w:type="paragraph" w:styleId="CommentSubject">
    <w:name w:val="annotation subject"/>
    <w:basedOn w:val="CommentText"/>
    <w:next w:val="CommentText"/>
    <w:link w:val="CommentSubjectChar"/>
    <w:uiPriority w:val="99"/>
    <w:semiHidden/>
    <w:unhideWhenUsed/>
    <w:rsid w:val="00A0279F"/>
    <w:rPr>
      <w:b/>
      <w:bCs/>
    </w:rPr>
  </w:style>
  <w:style w:type="character" w:customStyle="1" w:styleId="CommentSubjectChar">
    <w:name w:val="Comment Subject Char"/>
    <w:basedOn w:val="CommentTextChar"/>
    <w:link w:val="CommentSubject"/>
    <w:uiPriority w:val="99"/>
    <w:semiHidden/>
    <w:rsid w:val="00A0279F"/>
    <w:rPr>
      <w:b/>
      <w:bCs/>
    </w:rPr>
  </w:style>
  <w:style w:type="paragraph" w:customStyle="1" w:styleId="xparagraph">
    <w:name w:val="x_paragraph"/>
    <w:basedOn w:val="Normal"/>
    <w:rsid w:val="00E803CB"/>
    <w:pPr>
      <w:spacing w:before="100" w:beforeAutospacing="1" w:after="100" w:afterAutospacing="1" w:line="240" w:lineRule="auto"/>
    </w:pPr>
    <w:rPr>
      <w:rFonts w:ascii="Times New Roman" w:hAnsi="Times New Roman"/>
      <w:sz w:val="24"/>
      <w:szCs w:val="24"/>
    </w:rPr>
  </w:style>
  <w:style w:type="character" w:customStyle="1" w:styleId="xnormaltextrun">
    <w:name w:val="x_normaltextrun"/>
    <w:basedOn w:val="DefaultParagraphFont"/>
    <w:rsid w:val="00E803CB"/>
  </w:style>
  <w:style w:type="character" w:customStyle="1" w:styleId="xeop">
    <w:name w:val="x_eop"/>
    <w:basedOn w:val="DefaultParagraphFont"/>
    <w:rsid w:val="00E8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4290">
      <w:bodyDiv w:val="1"/>
      <w:marLeft w:val="0"/>
      <w:marRight w:val="0"/>
      <w:marTop w:val="0"/>
      <w:marBottom w:val="0"/>
      <w:divBdr>
        <w:top w:val="none" w:sz="0" w:space="0" w:color="auto"/>
        <w:left w:val="none" w:sz="0" w:space="0" w:color="auto"/>
        <w:bottom w:val="none" w:sz="0" w:space="0" w:color="auto"/>
        <w:right w:val="none" w:sz="0" w:space="0" w:color="auto"/>
      </w:divBdr>
    </w:div>
    <w:div w:id="139008250">
      <w:bodyDiv w:val="1"/>
      <w:marLeft w:val="0"/>
      <w:marRight w:val="0"/>
      <w:marTop w:val="0"/>
      <w:marBottom w:val="0"/>
      <w:divBdr>
        <w:top w:val="none" w:sz="0" w:space="0" w:color="auto"/>
        <w:left w:val="none" w:sz="0" w:space="0" w:color="auto"/>
        <w:bottom w:val="none" w:sz="0" w:space="0" w:color="auto"/>
        <w:right w:val="none" w:sz="0" w:space="0" w:color="auto"/>
      </w:divBdr>
    </w:div>
    <w:div w:id="332993754">
      <w:bodyDiv w:val="1"/>
      <w:marLeft w:val="0"/>
      <w:marRight w:val="0"/>
      <w:marTop w:val="0"/>
      <w:marBottom w:val="0"/>
      <w:divBdr>
        <w:top w:val="none" w:sz="0" w:space="0" w:color="auto"/>
        <w:left w:val="none" w:sz="0" w:space="0" w:color="auto"/>
        <w:bottom w:val="none" w:sz="0" w:space="0" w:color="auto"/>
        <w:right w:val="none" w:sz="0" w:space="0" w:color="auto"/>
      </w:divBdr>
    </w:div>
    <w:div w:id="639187436">
      <w:bodyDiv w:val="1"/>
      <w:marLeft w:val="0"/>
      <w:marRight w:val="0"/>
      <w:marTop w:val="0"/>
      <w:marBottom w:val="0"/>
      <w:divBdr>
        <w:top w:val="none" w:sz="0" w:space="0" w:color="auto"/>
        <w:left w:val="none" w:sz="0" w:space="0" w:color="auto"/>
        <w:bottom w:val="none" w:sz="0" w:space="0" w:color="auto"/>
        <w:right w:val="none" w:sz="0" w:space="0" w:color="auto"/>
      </w:divBdr>
    </w:div>
    <w:div w:id="1852796659">
      <w:bodyDiv w:val="1"/>
      <w:marLeft w:val="0"/>
      <w:marRight w:val="0"/>
      <w:marTop w:val="0"/>
      <w:marBottom w:val="0"/>
      <w:divBdr>
        <w:top w:val="none" w:sz="0" w:space="0" w:color="auto"/>
        <w:left w:val="none" w:sz="0" w:space="0" w:color="auto"/>
        <w:bottom w:val="none" w:sz="0" w:space="0" w:color="auto"/>
        <w:right w:val="none" w:sz="0" w:space="0" w:color="auto"/>
      </w:divBdr>
      <w:divsChild>
        <w:div w:id="1473134244">
          <w:marLeft w:val="0"/>
          <w:marRight w:val="0"/>
          <w:marTop w:val="0"/>
          <w:marBottom w:val="0"/>
          <w:divBdr>
            <w:top w:val="none" w:sz="0" w:space="0" w:color="auto"/>
            <w:left w:val="none" w:sz="0" w:space="0" w:color="auto"/>
            <w:bottom w:val="none" w:sz="0" w:space="0" w:color="auto"/>
            <w:right w:val="none" w:sz="0" w:space="0" w:color="auto"/>
          </w:divBdr>
        </w:div>
        <w:div w:id="1069183913">
          <w:marLeft w:val="0"/>
          <w:marRight w:val="0"/>
          <w:marTop w:val="0"/>
          <w:marBottom w:val="0"/>
          <w:divBdr>
            <w:top w:val="none" w:sz="0" w:space="0" w:color="auto"/>
            <w:left w:val="none" w:sz="0" w:space="0" w:color="auto"/>
            <w:bottom w:val="none" w:sz="0" w:space="0" w:color="auto"/>
            <w:right w:val="none" w:sz="0" w:space="0" w:color="auto"/>
          </w:divBdr>
        </w:div>
        <w:div w:id="142338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406ED765C98A47B360E4AB86344D5D" ma:contentTypeVersion="10" ma:contentTypeDescription="Create a new document." ma:contentTypeScope="" ma:versionID="8f58951a10d3cb0855a77e56387c492f">
  <xsd:schema xmlns:xsd="http://www.w3.org/2001/XMLSchema" xmlns:xs="http://www.w3.org/2001/XMLSchema" xmlns:p="http://schemas.microsoft.com/office/2006/metadata/properties" xmlns:ns2="e80f0baa-f7cc-40d2-a88e-1972e1b7f1af" xmlns:ns3="0946f7f8-505d-49b0-9c63-50d37791c373" targetNamespace="http://schemas.microsoft.com/office/2006/metadata/properties" ma:root="true" ma:fieldsID="3887e13696201e4b81f2a608af1ca606" ns2:_="" ns3:_="">
    <xsd:import namespace="e80f0baa-f7cc-40d2-a88e-1972e1b7f1af"/>
    <xsd:import namespace="0946f7f8-505d-49b0-9c63-50d37791c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0baa-f7cc-40d2-a88e-1972e1b7f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f7f8-505d-49b0-9c63-50d37791c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AC657-171C-48B0-9789-4C4CE0ED2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D7A25-46C6-459D-A7B6-9B113F0D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0baa-f7cc-40d2-a88e-1972e1b7f1af"/>
    <ds:schemaRef ds:uri="0946f7f8-505d-49b0-9c63-50d37791c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5D9E8-4CF1-419B-9E01-1DC2583C7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AcrobatStaffing</dc:creator>
  <cp:keywords/>
  <cp:lastModifiedBy>Toni</cp:lastModifiedBy>
  <cp:revision>6</cp:revision>
  <cp:lastPrinted>2022-02-22T00:06:00Z</cp:lastPrinted>
  <dcterms:created xsi:type="dcterms:W3CDTF">2022-02-27T03:13:00Z</dcterms:created>
  <dcterms:modified xsi:type="dcterms:W3CDTF">2022-02-27T03:16:00Z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0x01010034406ED765C98A47B360E4AB86344D5D</vt:lpwstr>
  </property>
</Properties>
</file>